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p>
      <w:pPr>
        <w:spacing w:beforeLines="50" w:afterLines="50"/>
        <w:jc w:val="center"/>
        <w:rPr>
          <w:rFonts w:eastAsia="仿宋_GB2312"/>
          <w:b/>
          <w:sz w:val="32"/>
          <w:szCs w:val="32"/>
        </w:rPr>
      </w:pPr>
      <w:bookmarkStart w:id="0" w:name="_GoBack"/>
      <w:r>
        <w:rPr>
          <w:rFonts w:hint="eastAsia" w:eastAsia="仿宋_GB2312"/>
          <w:b/>
          <w:sz w:val="32"/>
          <w:szCs w:val="32"/>
        </w:rPr>
        <w:t>2016年各地区光伏电站开发市场环境监测评价结果</w:t>
      </w:r>
      <w:bookmarkEnd w:id="0"/>
    </w:p>
    <w:p>
      <w:pPr>
        <w:spacing w:before="156" w:after="156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（试评）</w:t>
      </w:r>
    </w:p>
    <w:tbl>
      <w:tblPr>
        <w:tblStyle w:val="4"/>
        <w:tblW w:w="144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34"/>
        <w:gridCol w:w="880"/>
        <w:gridCol w:w="817"/>
        <w:gridCol w:w="894"/>
        <w:gridCol w:w="782"/>
        <w:gridCol w:w="880"/>
        <w:gridCol w:w="880"/>
        <w:gridCol w:w="880"/>
        <w:gridCol w:w="880"/>
        <w:gridCol w:w="811"/>
        <w:gridCol w:w="880"/>
        <w:gridCol w:w="675"/>
        <w:gridCol w:w="701"/>
        <w:gridCol w:w="713"/>
        <w:gridCol w:w="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资源区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风险类指标</w:t>
            </w:r>
          </w:p>
        </w:tc>
        <w:tc>
          <w:tcPr>
            <w:tcW w:w="58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竞争力指标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评价结果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建设指导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保障小时数完成程度（25）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市场消纳风险（5）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新能源参与电力交易程度（5）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风险类指标得分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土地类型及成本（20）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地方政府服务（10）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电网企业服务（10）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国家度电补贴强度（10）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竞争性配置项目补贴平均降幅（5）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地方政府补贴力度（10）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竞争力指标得分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风险等级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竞争力等级</w:t>
            </w: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Ⅰ类资源区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-3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红色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青海海西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红色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甘肃嘉峪关、武威、张掖、酒泉、敦煌、金昌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-3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红色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新疆哈密、塔城、阿勒泰、克拉玛依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红色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内蒙古除赤峰、通辽、兴安盟、呼伦贝尔以外地区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Ⅱ类资源区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吉林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绿色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内蒙古赤峰、通辽、兴安盟、呼伦贝尔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河北承德、张家口、唐山、秦皇岛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绿色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山西大同、朔州、忻州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陕西榆林、延安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-3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青海除Ⅰ类外其他地区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甘肃除Ⅰ类外其他地区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-3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红色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新疆除Ⅰ类外其他地区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-5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高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红色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Ⅲ类资源区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河北除Ⅱ类外其他地区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山西除Ⅱ类外其他地区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陕西除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II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类外其他地区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-3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较</w:t>
            </w:r>
            <w:r>
              <w:rPr>
                <w:rFonts w:hint="eastAsia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绿色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浙江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较</w:t>
            </w:r>
            <w:r>
              <w:rPr>
                <w:rFonts w:hint="eastAsia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绿色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较</w:t>
            </w:r>
            <w:r>
              <w:rPr>
                <w:rFonts w:hint="eastAsia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绿色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较</w:t>
            </w:r>
            <w:r>
              <w:rPr>
                <w:rFonts w:hint="eastAsia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绿色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较</w:t>
            </w:r>
            <w:r>
              <w:rPr>
                <w:rFonts w:hint="eastAsia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较</w:t>
            </w:r>
            <w:r>
              <w:rPr>
                <w:rFonts w:hint="eastAsia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绿色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较</w:t>
            </w:r>
            <w:r>
              <w:rPr>
                <w:rFonts w:hint="eastAsia"/>
                <w:kern w:val="0"/>
                <w:sz w:val="22"/>
                <w:szCs w:val="22"/>
              </w:rPr>
              <w:t>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绿色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西藏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低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较</w:t>
            </w:r>
            <w:r>
              <w:rPr>
                <w:rFonts w:hint="eastAsia" w:hAnsi="宋体"/>
                <w:kern w:val="0"/>
                <w:sz w:val="22"/>
                <w:szCs w:val="22"/>
              </w:rPr>
              <w:t>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橙色</w:t>
            </w:r>
          </w:p>
        </w:tc>
      </w:tr>
    </w:tbl>
    <w:p>
      <w:pPr>
        <w:widowControl/>
        <w:jc w:val="left"/>
        <w:rPr>
          <w:sz w:val="32"/>
          <w:szCs w:val="32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97609"/>
    <w:rsid w:val="54697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2017-08-25T01:44:00Z</dcterms:created>
  <dc:creator>user</dc:creator>
  <cp:lastModifiedBy>user</cp:lastModifiedBy>
  <dcterms:modified xsi:type="dcterms:W3CDTF">2017-08-25T01:45:08Z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