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eastAsia="仿宋_GB2312"/>
          <w:sz w:val="32"/>
          <w:szCs w:val="32"/>
        </w:rPr>
      </w:pPr>
      <w:r>
        <w:rPr>
          <w:rFonts w:eastAsia="仿宋_GB2312"/>
          <w:sz w:val="32"/>
          <w:szCs w:val="32"/>
        </w:rPr>
        <w:t>附件</w:t>
      </w:r>
      <w:r>
        <w:rPr>
          <w:rFonts w:hint="eastAsia" w:eastAsia="仿宋_GB2312"/>
          <w:sz w:val="32"/>
          <w:szCs w:val="32"/>
        </w:rPr>
        <w:t>1：</w:t>
      </w:r>
    </w:p>
    <w:p>
      <w:pPr>
        <w:jc w:val="center"/>
        <w:outlineLvl w:val="0"/>
        <w:rPr>
          <w:rFonts w:eastAsia="仿宋_GB2312"/>
          <w:b/>
          <w:sz w:val="32"/>
          <w:szCs w:val="32"/>
        </w:rPr>
      </w:pPr>
    </w:p>
    <w:p>
      <w:pPr>
        <w:jc w:val="center"/>
        <w:outlineLvl w:val="0"/>
        <w:rPr>
          <w:rFonts w:eastAsia="华文中宋"/>
          <w:sz w:val="36"/>
          <w:szCs w:val="36"/>
        </w:rPr>
      </w:pPr>
      <w:bookmarkStart w:id="0" w:name="_GoBack"/>
      <w:r>
        <w:rPr>
          <w:rFonts w:hint="eastAsia" w:eastAsia="华文中宋"/>
          <w:sz w:val="36"/>
          <w:szCs w:val="36"/>
        </w:rPr>
        <w:t>光伏电站开发市场环境监测评价方法及评分标准</w:t>
      </w:r>
    </w:p>
    <w:bookmarkEnd w:id="0"/>
    <w:p>
      <w:pPr>
        <w:jc w:val="center"/>
        <w:outlineLvl w:val="0"/>
        <w:rPr>
          <w:rFonts w:eastAsia="仿宋_GB2312"/>
          <w:b/>
          <w:sz w:val="32"/>
          <w:szCs w:val="32"/>
        </w:rPr>
      </w:pPr>
    </w:p>
    <w:p>
      <w:pPr>
        <w:spacing w:beforeLines="50" w:afterLines="50" w:line="360" w:lineRule="auto"/>
        <w:ind w:firstLine="640" w:firstLineChars="200"/>
        <w:jc w:val="left"/>
        <w:outlineLvl w:val="0"/>
        <w:rPr>
          <w:rFonts w:eastAsia="黑体"/>
          <w:sz w:val="32"/>
          <w:szCs w:val="32"/>
        </w:rPr>
      </w:pPr>
      <w:r>
        <w:rPr>
          <w:rFonts w:eastAsia="黑体"/>
          <w:sz w:val="32"/>
          <w:szCs w:val="32"/>
        </w:rPr>
        <w:t>一、评价方法</w:t>
      </w:r>
    </w:p>
    <w:p>
      <w:pPr>
        <w:ind w:firstLine="640" w:firstLineChars="200"/>
        <w:jc w:val="left"/>
        <w:outlineLvl w:val="0"/>
        <w:rPr>
          <w:rFonts w:eastAsia="仿宋_GB2312"/>
          <w:sz w:val="32"/>
          <w:szCs w:val="32"/>
        </w:rPr>
      </w:pPr>
      <w:r>
        <w:rPr>
          <w:rFonts w:eastAsia="仿宋_GB2312"/>
          <w:sz w:val="32"/>
          <w:szCs w:val="32"/>
        </w:rPr>
        <w:t>（一）风险等级评价</w:t>
      </w:r>
    </w:p>
    <w:p>
      <w:pPr>
        <w:ind w:firstLine="640" w:firstLineChars="200"/>
        <w:jc w:val="left"/>
        <w:outlineLvl w:val="0"/>
        <w:rPr>
          <w:rFonts w:eastAsia="仿宋_GB2312"/>
          <w:sz w:val="32"/>
          <w:szCs w:val="32"/>
        </w:rPr>
      </w:pPr>
      <w:r>
        <w:rPr>
          <w:rFonts w:eastAsia="仿宋_GB2312"/>
          <w:sz w:val="32"/>
          <w:szCs w:val="32"/>
        </w:rPr>
        <w:t>每项评价指标分值之和即为风险等级评价结果。评价结果分为高、中、低三个等级（&lt;15、15-25、&gt;25分），分别对应高风险、中度风险、低风险三个等级。</w:t>
      </w:r>
    </w:p>
    <w:p>
      <w:pPr>
        <w:ind w:firstLine="640" w:firstLineChars="200"/>
        <w:jc w:val="left"/>
        <w:outlineLvl w:val="0"/>
        <w:rPr>
          <w:rFonts w:eastAsia="仿宋_GB2312"/>
          <w:sz w:val="32"/>
          <w:szCs w:val="32"/>
        </w:rPr>
      </w:pPr>
      <w:r>
        <w:rPr>
          <w:rFonts w:eastAsia="仿宋_GB2312"/>
          <w:sz w:val="32"/>
          <w:szCs w:val="32"/>
        </w:rPr>
        <w:t>（二）竞争力等级评价</w:t>
      </w:r>
    </w:p>
    <w:p>
      <w:pPr>
        <w:ind w:firstLine="640" w:firstLineChars="200"/>
        <w:jc w:val="left"/>
        <w:outlineLvl w:val="0"/>
        <w:rPr>
          <w:rFonts w:eastAsia="仿宋_GB2312"/>
          <w:sz w:val="32"/>
          <w:szCs w:val="32"/>
        </w:rPr>
      </w:pPr>
      <w:r>
        <w:rPr>
          <w:rFonts w:eastAsia="仿宋_GB2312"/>
          <w:sz w:val="32"/>
          <w:szCs w:val="32"/>
        </w:rPr>
        <w:t>每项评价指标分值之和即为竞争力评价结果。评价结果分为两个等级（&gt;45分、≤45分），分别对应竞争力较</w:t>
      </w:r>
      <w:r>
        <w:rPr>
          <w:rFonts w:hint="eastAsia" w:eastAsia="仿宋_GB2312"/>
          <w:sz w:val="32"/>
          <w:szCs w:val="32"/>
        </w:rPr>
        <w:t>强</w:t>
      </w:r>
      <w:r>
        <w:rPr>
          <w:rFonts w:eastAsia="仿宋_GB2312"/>
          <w:sz w:val="32"/>
          <w:szCs w:val="32"/>
        </w:rPr>
        <w:t>和竞争力较</w:t>
      </w:r>
      <w:r>
        <w:rPr>
          <w:rFonts w:hint="eastAsia" w:eastAsia="仿宋_GB2312"/>
          <w:sz w:val="32"/>
          <w:szCs w:val="32"/>
        </w:rPr>
        <w:t>弱</w:t>
      </w:r>
      <w:r>
        <w:rPr>
          <w:rFonts w:eastAsia="仿宋_GB2312"/>
          <w:sz w:val="32"/>
          <w:szCs w:val="32"/>
        </w:rPr>
        <w:t>两个等级。</w:t>
      </w:r>
    </w:p>
    <w:p>
      <w:pPr>
        <w:ind w:firstLine="640" w:firstLineChars="200"/>
        <w:jc w:val="left"/>
        <w:outlineLvl w:val="0"/>
        <w:rPr>
          <w:rFonts w:eastAsia="仿宋_GB2312"/>
          <w:sz w:val="32"/>
          <w:szCs w:val="32"/>
        </w:rPr>
      </w:pPr>
      <w:r>
        <w:rPr>
          <w:rFonts w:eastAsia="仿宋_GB2312"/>
          <w:sz w:val="32"/>
          <w:szCs w:val="32"/>
        </w:rPr>
        <w:t>（三）综合评价结果</w:t>
      </w:r>
    </w:p>
    <w:p>
      <w:pPr>
        <w:ind w:firstLine="640" w:firstLineChars="200"/>
        <w:jc w:val="left"/>
        <w:outlineLvl w:val="0"/>
        <w:rPr>
          <w:rFonts w:eastAsia="仿宋_GB2312"/>
          <w:sz w:val="32"/>
          <w:szCs w:val="32"/>
        </w:rPr>
      </w:pPr>
      <w:r>
        <w:rPr>
          <w:rFonts w:eastAsia="仿宋_GB2312"/>
          <w:sz w:val="32"/>
          <w:szCs w:val="32"/>
        </w:rPr>
        <w:t>竞争力等级评价结果为较</w:t>
      </w:r>
      <w:r>
        <w:rPr>
          <w:rFonts w:hint="eastAsia" w:eastAsia="仿宋_GB2312"/>
          <w:sz w:val="32"/>
          <w:szCs w:val="32"/>
        </w:rPr>
        <w:t>强</w:t>
      </w:r>
      <w:r>
        <w:rPr>
          <w:rFonts w:eastAsia="仿宋_GB2312"/>
          <w:sz w:val="32"/>
          <w:szCs w:val="32"/>
        </w:rPr>
        <w:t>竞争力、风险等级评价结果为低风险或者中度风险，</w:t>
      </w:r>
      <w:r>
        <w:rPr>
          <w:rFonts w:hint="eastAsia" w:eastAsia="仿宋_GB2312"/>
          <w:sz w:val="32"/>
          <w:szCs w:val="32"/>
        </w:rPr>
        <w:t>总体</w:t>
      </w:r>
      <w:r>
        <w:rPr>
          <w:rFonts w:eastAsia="仿宋_GB2312"/>
          <w:sz w:val="32"/>
          <w:szCs w:val="32"/>
        </w:rPr>
        <w:t>评价结果为绿色。</w:t>
      </w:r>
    </w:p>
    <w:p>
      <w:pPr>
        <w:ind w:firstLine="640" w:firstLineChars="200"/>
        <w:jc w:val="left"/>
        <w:outlineLvl w:val="0"/>
        <w:rPr>
          <w:rFonts w:eastAsia="仿宋_GB2312"/>
          <w:sz w:val="32"/>
          <w:szCs w:val="32"/>
        </w:rPr>
      </w:pPr>
      <w:r>
        <w:rPr>
          <w:rFonts w:eastAsia="仿宋_GB2312"/>
          <w:sz w:val="32"/>
          <w:szCs w:val="32"/>
        </w:rPr>
        <w:t>竞争力等级评价结果为较</w:t>
      </w:r>
      <w:r>
        <w:rPr>
          <w:rFonts w:hint="eastAsia" w:eastAsia="仿宋_GB2312"/>
          <w:sz w:val="32"/>
          <w:szCs w:val="32"/>
        </w:rPr>
        <w:t>强</w:t>
      </w:r>
      <w:r>
        <w:rPr>
          <w:rFonts w:eastAsia="仿宋_GB2312"/>
          <w:sz w:val="32"/>
          <w:szCs w:val="32"/>
        </w:rPr>
        <w:t>竞争力、风险等级评价结果为高风险，</w:t>
      </w:r>
      <w:r>
        <w:rPr>
          <w:rFonts w:hint="eastAsia" w:eastAsia="仿宋_GB2312"/>
          <w:sz w:val="32"/>
          <w:szCs w:val="32"/>
        </w:rPr>
        <w:t>总体</w:t>
      </w:r>
      <w:r>
        <w:rPr>
          <w:rFonts w:eastAsia="仿宋_GB2312"/>
          <w:sz w:val="32"/>
          <w:szCs w:val="32"/>
        </w:rPr>
        <w:t>评价结果为橙色。</w:t>
      </w:r>
    </w:p>
    <w:p>
      <w:pPr>
        <w:ind w:firstLine="640" w:firstLineChars="200"/>
        <w:jc w:val="left"/>
        <w:outlineLvl w:val="0"/>
        <w:rPr>
          <w:rFonts w:eastAsia="仿宋_GB2312"/>
          <w:sz w:val="32"/>
          <w:szCs w:val="32"/>
        </w:rPr>
      </w:pPr>
      <w:r>
        <w:rPr>
          <w:rFonts w:eastAsia="仿宋_GB2312"/>
          <w:sz w:val="32"/>
          <w:szCs w:val="32"/>
        </w:rPr>
        <w:t>竞争力等级评价结果为较</w:t>
      </w:r>
      <w:r>
        <w:rPr>
          <w:rFonts w:hint="eastAsia" w:eastAsia="仿宋_GB2312"/>
          <w:sz w:val="32"/>
          <w:szCs w:val="32"/>
        </w:rPr>
        <w:t>弱</w:t>
      </w:r>
      <w:r>
        <w:rPr>
          <w:rFonts w:eastAsia="仿宋_GB2312"/>
          <w:sz w:val="32"/>
          <w:szCs w:val="32"/>
        </w:rPr>
        <w:t>竞争力、风险等级评价结果为中度风险或者低风险，</w:t>
      </w:r>
      <w:r>
        <w:rPr>
          <w:rFonts w:hint="eastAsia" w:eastAsia="仿宋_GB2312"/>
          <w:sz w:val="32"/>
          <w:szCs w:val="32"/>
        </w:rPr>
        <w:t>总体</w:t>
      </w:r>
      <w:r>
        <w:rPr>
          <w:rFonts w:eastAsia="仿宋_GB2312"/>
          <w:sz w:val="32"/>
          <w:szCs w:val="32"/>
        </w:rPr>
        <w:t>评价结果为橙色。</w:t>
      </w:r>
    </w:p>
    <w:p>
      <w:pPr>
        <w:ind w:firstLine="640" w:firstLineChars="200"/>
        <w:jc w:val="left"/>
        <w:outlineLvl w:val="0"/>
        <w:rPr>
          <w:rFonts w:eastAsia="仿宋_GB2312"/>
          <w:sz w:val="32"/>
          <w:szCs w:val="32"/>
        </w:rPr>
        <w:sectPr>
          <w:footerReference r:id="rId3" w:type="default"/>
          <w:pgSz w:w="11906" w:h="16838"/>
          <w:pgMar w:top="1440" w:right="1800" w:bottom="1440" w:left="1800" w:header="851" w:footer="992" w:gutter="0"/>
          <w:pgNumType w:start="1"/>
          <w:cols w:space="425" w:num="1"/>
          <w:docGrid w:type="lines" w:linePitch="312" w:charSpace="0"/>
        </w:sectPr>
      </w:pPr>
      <w:r>
        <w:rPr>
          <w:rFonts w:eastAsia="仿宋_GB2312"/>
          <w:sz w:val="32"/>
          <w:szCs w:val="32"/>
        </w:rPr>
        <w:t>竞争力等级评价结果为较</w:t>
      </w:r>
      <w:r>
        <w:rPr>
          <w:rFonts w:hint="eastAsia" w:eastAsia="仿宋_GB2312"/>
          <w:sz w:val="32"/>
          <w:szCs w:val="32"/>
        </w:rPr>
        <w:t>弱</w:t>
      </w:r>
      <w:r>
        <w:rPr>
          <w:rFonts w:eastAsia="仿宋_GB2312"/>
          <w:sz w:val="32"/>
          <w:szCs w:val="32"/>
        </w:rPr>
        <w:t>竞争力、风险等级评价结果为高风险，</w:t>
      </w:r>
      <w:r>
        <w:rPr>
          <w:rFonts w:hint="eastAsia" w:eastAsia="仿宋_GB2312"/>
          <w:sz w:val="32"/>
          <w:szCs w:val="32"/>
        </w:rPr>
        <w:t>总体</w:t>
      </w:r>
      <w:r>
        <w:rPr>
          <w:rFonts w:eastAsia="仿宋_GB2312"/>
          <w:sz w:val="32"/>
          <w:szCs w:val="32"/>
        </w:rPr>
        <w:t>评价结果为红色。</w:t>
      </w:r>
    </w:p>
    <w:p>
      <w:pPr>
        <w:spacing w:beforeLines="50" w:afterLines="50" w:line="360" w:lineRule="auto"/>
        <w:ind w:firstLine="640" w:firstLineChars="200"/>
        <w:jc w:val="left"/>
        <w:outlineLvl w:val="0"/>
        <w:rPr>
          <w:rFonts w:eastAsia="黑体"/>
          <w:sz w:val="32"/>
          <w:szCs w:val="32"/>
        </w:rPr>
      </w:pPr>
      <w:r>
        <w:rPr>
          <w:rFonts w:eastAsia="黑体"/>
          <w:sz w:val="32"/>
          <w:szCs w:val="32"/>
        </w:rPr>
        <w:t>二、评分标准</w:t>
      </w:r>
    </w:p>
    <w:tbl>
      <w:tblPr>
        <w:tblStyle w:val="4"/>
        <w:tblW w:w="13652" w:type="dxa"/>
        <w:tblInd w:w="0" w:type="dxa"/>
        <w:tblLayout w:type="fixed"/>
        <w:tblCellMar>
          <w:top w:w="0" w:type="dxa"/>
          <w:left w:w="108" w:type="dxa"/>
          <w:bottom w:w="0" w:type="dxa"/>
          <w:right w:w="108" w:type="dxa"/>
        </w:tblCellMar>
      </w:tblPr>
      <w:tblGrid>
        <w:gridCol w:w="1243"/>
        <w:gridCol w:w="1985"/>
        <w:gridCol w:w="950"/>
        <w:gridCol w:w="9474"/>
      </w:tblGrid>
      <w:tr>
        <w:tblPrEx>
          <w:tblLayout w:type="fixed"/>
          <w:tblCellMar>
            <w:top w:w="0" w:type="dxa"/>
            <w:left w:w="108" w:type="dxa"/>
            <w:bottom w:w="0" w:type="dxa"/>
            <w:right w:w="108" w:type="dxa"/>
          </w:tblCellMar>
        </w:tblPrEx>
        <w:trPr>
          <w:trHeight w:val="390" w:hRule="atLeast"/>
          <w:tblHeader/>
        </w:trPr>
        <w:tc>
          <w:tcPr>
            <w:tcW w:w="124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eastAsia="仿宋_GB2312"/>
                <w:b/>
                <w:bCs/>
                <w:color w:val="000000"/>
                <w:kern w:val="0"/>
                <w:sz w:val="28"/>
                <w:szCs w:val="28"/>
              </w:rPr>
            </w:pPr>
            <w:r>
              <w:rPr>
                <w:rFonts w:eastAsia="仿宋_GB2312"/>
                <w:b/>
                <w:bCs/>
                <w:color w:val="000000"/>
                <w:kern w:val="0"/>
                <w:sz w:val="28"/>
                <w:szCs w:val="28"/>
              </w:rPr>
              <w:t>项目</w:t>
            </w:r>
          </w:p>
        </w:tc>
        <w:tc>
          <w:tcPr>
            <w:tcW w:w="1985"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eastAsia="仿宋_GB2312"/>
                <w:b/>
                <w:bCs/>
                <w:color w:val="000000"/>
                <w:kern w:val="0"/>
                <w:sz w:val="28"/>
                <w:szCs w:val="28"/>
              </w:rPr>
            </w:pPr>
            <w:r>
              <w:rPr>
                <w:rFonts w:eastAsia="仿宋_GB2312"/>
                <w:b/>
                <w:bCs/>
                <w:color w:val="000000"/>
                <w:kern w:val="0"/>
                <w:sz w:val="28"/>
                <w:szCs w:val="28"/>
              </w:rPr>
              <w:t>内容</w:t>
            </w:r>
          </w:p>
        </w:tc>
        <w:tc>
          <w:tcPr>
            <w:tcW w:w="95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eastAsia="仿宋_GB2312"/>
                <w:b/>
                <w:bCs/>
                <w:color w:val="000000"/>
                <w:kern w:val="0"/>
                <w:sz w:val="28"/>
                <w:szCs w:val="28"/>
              </w:rPr>
            </w:pPr>
            <w:r>
              <w:rPr>
                <w:rFonts w:eastAsia="仿宋_GB2312"/>
                <w:b/>
                <w:bCs/>
                <w:color w:val="000000"/>
                <w:kern w:val="0"/>
                <w:sz w:val="28"/>
                <w:szCs w:val="28"/>
              </w:rPr>
              <w:t>分值</w:t>
            </w:r>
          </w:p>
        </w:tc>
        <w:tc>
          <w:tcPr>
            <w:tcW w:w="9474"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eastAsia="仿宋_GB2312"/>
                <w:b/>
                <w:bCs/>
                <w:color w:val="000000"/>
                <w:kern w:val="0"/>
                <w:sz w:val="28"/>
                <w:szCs w:val="28"/>
              </w:rPr>
            </w:pPr>
            <w:r>
              <w:rPr>
                <w:rFonts w:eastAsia="仿宋_GB2312"/>
                <w:b/>
                <w:bCs/>
                <w:color w:val="000000"/>
                <w:kern w:val="0"/>
                <w:sz w:val="28"/>
                <w:szCs w:val="28"/>
              </w:rPr>
              <w:t>评分标准</w:t>
            </w:r>
          </w:p>
        </w:tc>
      </w:tr>
      <w:tr>
        <w:tblPrEx>
          <w:tblLayout w:type="fixed"/>
          <w:tblCellMar>
            <w:top w:w="0" w:type="dxa"/>
            <w:left w:w="108" w:type="dxa"/>
            <w:bottom w:w="0" w:type="dxa"/>
            <w:right w:w="108" w:type="dxa"/>
          </w:tblCellMar>
        </w:tblPrEx>
        <w:trPr>
          <w:trHeight w:val="450" w:hRule="atLeast"/>
        </w:trPr>
        <w:tc>
          <w:tcPr>
            <w:tcW w:w="1243"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eastAsia="仿宋_GB2312"/>
                <w:color w:val="000000"/>
                <w:kern w:val="0"/>
                <w:sz w:val="28"/>
                <w:szCs w:val="28"/>
              </w:rPr>
            </w:pPr>
            <w:r>
              <w:rPr>
                <w:rFonts w:eastAsia="仿宋_GB2312"/>
                <w:color w:val="000000"/>
                <w:kern w:val="0"/>
                <w:sz w:val="28"/>
                <w:szCs w:val="28"/>
              </w:rPr>
              <w:t>风险类指标</w:t>
            </w:r>
          </w:p>
        </w:tc>
        <w:tc>
          <w:tcPr>
            <w:tcW w:w="1985"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eastAsia="仿宋_GB2312"/>
                <w:color w:val="000000"/>
                <w:kern w:val="0"/>
                <w:sz w:val="28"/>
                <w:szCs w:val="28"/>
              </w:rPr>
            </w:pPr>
            <w:r>
              <w:rPr>
                <w:rFonts w:eastAsia="仿宋_GB2312"/>
                <w:color w:val="000000"/>
                <w:kern w:val="0"/>
                <w:sz w:val="28"/>
                <w:szCs w:val="28"/>
              </w:rPr>
              <w:t>保障小时数完成程度</w:t>
            </w:r>
          </w:p>
        </w:tc>
        <w:tc>
          <w:tcPr>
            <w:tcW w:w="95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color w:val="000000"/>
                <w:kern w:val="0"/>
                <w:sz w:val="28"/>
                <w:szCs w:val="28"/>
              </w:rPr>
            </w:pPr>
            <w:r>
              <w:rPr>
                <w:color w:val="000000"/>
                <w:kern w:val="0"/>
                <w:sz w:val="28"/>
                <w:szCs w:val="28"/>
              </w:rPr>
              <w:t>25</w:t>
            </w:r>
          </w:p>
        </w:tc>
        <w:tc>
          <w:tcPr>
            <w:tcW w:w="9474" w:type="dxa"/>
            <w:tcBorders>
              <w:top w:val="nil"/>
              <w:left w:val="nil"/>
              <w:bottom w:val="nil"/>
              <w:right w:val="single" w:color="auto" w:sz="8" w:space="0"/>
            </w:tcBorders>
            <w:shd w:val="clear" w:color="auto" w:fill="auto"/>
            <w:vAlign w:val="center"/>
          </w:tcPr>
          <w:p>
            <w:pPr>
              <w:widowControl/>
              <w:jc w:val="left"/>
              <w:rPr>
                <w:rFonts w:eastAsia="仿宋_GB2312"/>
                <w:color w:val="000000"/>
                <w:kern w:val="0"/>
                <w:sz w:val="28"/>
                <w:szCs w:val="28"/>
              </w:rPr>
            </w:pPr>
            <w:r>
              <w:rPr>
                <w:rFonts w:eastAsia="仿宋_GB2312"/>
                <w:color w:val="000000"/>
                <w:kern w:val="0"/>
                <w:sz w:val="28"/>
                <w:szCs w:val="28"/>
              </w:rPr>
              <w:t>按上年度保障小时数落实情况进行评分：</w:t>
            </w:r>
          </w:p>
        </w:tc>
      </w:tr>
      <w:tr>
        <w:tblPrEx>
          <w:tblLayout w:type="fixed"/>
          <w:tblCellMar>
            <w:top w:w="0" w:type="dxa"/>
            <w:left w:w="108" w:type="dxa"/>
            <w:bottom w:w="0" w:type="dxa"/>
            <w:right w:w="108" w:type="dxa"/>
          </w:tblCellMar>
        </w:tblPrEx>
        <w:trPr>
          <w:trHeight w:val="390" w:hRule="atLeast"/>
        </w:trPr>
        <w:tc>
          <w:tcPr>
            <w:tcW w:w="1243"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000000"/>
                <w:kern w:val="0"/>
                <w:sz w:val="28"/>
                <w:szCs w:val="28"/>
              </w:rPr>
            </w:pPr>
          </w:p>
        </w:tc>
        <w:tc>
          <w:tcPr>
            <w:tcW w:w="1985"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000000"/>
                <w:kern w:val="0"/>
                <w:sz w:val="28"/>
                <w:szCs w:val="28"/>
              </w:rPr>
            </w:pPr>
          </w:p>
        </w:tc>
        <w:tc>
          <w:tcPr>
            <w:tcW w:w="950" w:type="dxa"/>
            <w:vMerge w:val="continue"/>
            <w:tcBorders>
              <w:top w:val="nil"/>
              <w:left w:val="single" w:color="auto" w:sz="8" w:space="0"/>
              <w:bottom w:val="single" w:color="000000" w:sz="8" w:space="0"/>
              <w:right w:val="single" w:color="auto" w:sz="8" w:space="0"/>
            </w:tcBorders>
            <w:vAlign w:val="center"/>
          </w:tcPr>
          <w:p>
            <w:pPr>
              <w:widowControl/>
              <w:jc w:val="left"/>
              <w:rPr>
                <w:color w:val="000000"/>
                <w:kern w:val="0"/>
                <w:sz w:val="28"/>
                <w:szCs w:val="28"/>
              </w:rPr>
            </w:pPr>
          </w:p>
        </w:tc>
        <w:tc>
          <w:tcPr>
            <w:tcW w:w="9474" w:type="dxa"/>
            <w:tcBorders>
              <w:top w:val="nil"/>
              <w:left w:val="nil"/>
              <w:bottom w:val="nil"/>
              <w:right w:val="single" w:color="auto" w:sz="8" w:space="0"/>
            </w:tcBorders>
            <w:shd w:val="clear" w:color="auto" w:fill="auto"/>
            <w:vAlign w:val="center"/>
          </w:tcPr>
          <w:p>
            <w:pPr>
              <w:widowControl/>
              <w:jc w:val="left"/>
              <w:rPr>
                <w:rFonts w:eastAsia="仿宋_GB2312"/>
                <w:color w:val="000000"/>
                <w:kern w:val="0"/>
                <w:sz w:val="28"/>
                <w:szCs w:val="28"/>
              </w:rPr>
            </w:pPr>
            <w:r>
              <w:rPr>
                <w:rFonts w:eastAsia="仿宋_GB2312"/>
                <w:color w:val="000000"/>
                <w:kern w:val="0"/>
                <w:sz w:val="28"/>
                <w:szCs w:val="28"/>
              </w:rPr>
              <w:t>达到保障小时数地区或未核定保障小时数地区限电未超过5%（25）；</w:t>
            </w:r>
          </w:p>
        </w:tc>
      </w:tr>
      <w:tr>
        <w:tblPrEx>
          <w:tblLayout w:type="fixed"/>
          <w:tblCellMar>
            <w:top w:w="0" w:type="dxa"/>
            <w:left w:w="108" w:type="dxa"/>
            <w:bottom w:w="0" w:type="dxa"/>
            <w:right w:w="108" w:type="dxa"/>
          </w:tblCellMar>
        </w:tblPrEx>
        <w:trPr>
          <w:trHeight w:val="390" w:hRule="atLeast"/>
        </w:trPr>
        <w:tc>
          <w:tcPr>
            <w:tcW w:w="1243"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000000"/>
                <w:kern w:val="0"/>
                <w:sz w:val="28"/>
                <w:szCs w:val="28"/>
              </w:rPr>
            </w:pPr>
          </w:p>
        </w:tc>
        <w:tc>
          <w:tcPr>
            <w:tcW w:w="1985"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000000"/>
                <w:kern w:val="0"/>
                <w:sz w:val="28"/>
                <w:szCs w:val="28"/>
              </w:rPr>
            </w:pPr>
          </w:p>
        </w:tc>
        <w:tc>
          <w:tcPr>
            <w:tcW w:w="950" w:type="dxa"/>
            <w:vMerge w:val="continue"/>
            <w:tcBorders>
              <w:top w:val="nil"/>
              <w:left w:val="single" w:color="auto" w:sz="8" w:space="0"/>
              <w:bottom w:val="single" w:color="000000" w:sz="8" w:space="0"/>
              <w:right w:val="single" w:color="auto" w:sz="8" w:space="0"/>
            </w:tcBorders>
            <w:vAlign w:val="center"/>
          </w:tcPr>
          <w:p>
            <w:pPr>
              <w:widowControl/>
              <w:jc w:val="left"/>
              <w:rPr>
                <w:color w:val="000000"/>
                <w:kern w:val="0"/>
                <w:sz w:val="28"/>
                <w:szCs w:val="28"/>
              </w:rPr>
            </w:pPr>
          </w:p>
        </w:tc>
        <w:tc>
          <w:tcPr>
            <w:tcW w:w="9474" w:type="dxa"/>
            <w:tcBorders>
              <w:top w:val="nil"/>
              <w:left w:val="nil"/>
              <w:bottom w:val="nil"/>
              <w:right w:val="single" w:color="auto" w:sz="8" w:space="0"/>
            </w:tcBorders>
            <w:shd w:val="clear" w:color="auto" w:fill="auto"/>
            <w:vAlign w:val="center"/>
          </w:tcPr>
          <w:p>
            <w:pPr>
              <w:widowControl/>
              <w:jc w:val="left"/>
              <w:rPr>
                <w:rFonts w:eastAsia="仿宋_GB2312"/>
                <w:color w:val="000000"/>
                <w:kern w:val="0"/>
                <w:sz w:val="28"/>
                <w:szCs w:val="28"/>
              </w:rPr>
            </w:pPr>
            <w:r>
              <w:rPr>
                <w:rFonts w:eastAsia="仿宋_GB2312"/>
                <w:color w:val="000000"/>
                <w:kern w:val="0"/>
                <w:sz w:val="28"/>
                <w:szCs w:val="28"/>
              </w:rPr>
              <w:t>核定保障小时数地区实际年利用小时数低于保障小时数5%以内（15）；</w:t>
            </w:r>
          </w:p>
        </w:tc>
      </w:tr>
      <w:tr>
        <w:tblPrEx>
          <w:tblLayout w:type="fixed"/>
          <w:tblCellMar>
            <w:top w:w="0" w:type="dxa"/>
            <w:left w:w="108" w:type="dxa"/>
            <w:bottom w:w="0" w:type="dxa"/>
            <w:right w:w="108" w:type="dxa"/>
          </w:tblCellMar>
        </w:tblPrEx>
        <w:trPr>
          <w:trHeight w:val="405" w:hRule="atLeast"/>
        </w:trPr>
        <w:tc>
          <w:tcPr>
            <w:tcW w:w="1243"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000000"/>
                <w:kern w:val="0"/>
                <w:sz w:val="28"/>
                <w:szCs w:val="28"/>
              </w:rPr>
            </w:pPr>
          </w:p>
        </w:tc>
        <w:tc>
          <w:tcPr>
            <w:tcW w:w="1985"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000000"/>
                <w:kern w:val="0"/>
                <w:sz w:val="28"/>
                <w:szCs w:val="28"/>
              </w:rPr>
            </w:pPr>
          </w:p>
        </w:tc>
        <w:tc>
          <w:tcPr>
            <w:tcW w:w="950" w:type="dxa"/>
            <w:vMerge w:val="continue"/>
            <w:tcBorders>
              <w:top w:val="nil"/>
              <w:left w:val="single" w:color="auto" w:sz="8" w:space="0"/>
              <w:bottom w:val="single" w:color="000000" w:sz="8" w:space="0"/>
              <w:right w:val="single" w:color="auto" w:sz="8" w:space="0"/>
            </w:tcBorders>
            <w:vAlign w:val="center"/>
          </w:tcPr>
          <w:p>
            <w:pPr>
              <w:widowControl/>
              <w:jc w:val="left"/>
              <w:rPr>
                <w:color w:val="000000"/>
                <w:kern w:val="0"/>
                <w:sz w:val="28"/>
                <w:szCs w:val="28"/>
              </w:rPr>
            </w:pPr>
          </w:p>
        </w:tc>
        <w:tc>
          <w:tcPr>
            <w:tcW w:w="9474" w:type="dxa"/>
            <w:tcBorders>
              <w:top w:val="nil"/>
              <w:left w:val="nil"/>
              <w:bottom w:val="single" w:color="auto" w:sz="8" w:space="0"/>
              <w:right w:val="single" w:color="auto" w:sz="8" w:space="0"/>
            </w:tcBorders>
            <w:shd w:val="clear" w:color="auto" w:fill="auto"/>
            <w:vAlign w:val="center"/>
          </w:tcPr>
          <w:p>
            <w:pPr>
              <w:widowControl/>
              <w:jc w:val="left"/>
              <w:rPr>
                <w:rFonts w:eastAsia="仿宋_GB2312"/>
                <w:color w:val="000000"/>
                <w:kern w:val="0"/>
                <w:sz w:val="28"/>
                <w:szCs w:val="28"/>
              </w:rPr>
            </w:pPr>
            <w:r>
              <w:rPr>
                <w:rFonts w:eastAsia="仿宋_GB2312"/>
                <w:color w:val="000000"/>
                <w:kern w:val="0"/>
                <w:sz w:val="28"/>
                <w:szCs w:val="28"/>
              </w:rPr>
              <w:t>低于保障小时数的95%，一票否决，直接定为红色。</w:t>
            </w:r>
          </w:p>
        </w:tc>
      </w:tr>
      <w:tr>
        <w:tblPrEx>
          <w:tblLayout w:type="fixed"/>
          <w:tblCellMar>
            <w:top w:w="0" w:type="dxa"/>
            <w:left w:w="108" w:type="dxa"/>
            <w:bottom w:w="0" w:type="dxa"/>
            <w:right w:w="108" w:type="dxa"/>
          </w:tblCellMar>
        </w:tblPrEx>
        <w:trPr>
          <w:trHeight w:val="375" w:hRule="atLeast"/>
        </w:trPr>
        <w:tc>
          <w:tcPr>
            <w:tcW w:w="1243"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000000"/>
                <w:kern w:val="0"/>
                <w:sz w:val="28"/>
                <w:szCs w:val="28"/>
              </w:rPr>
            </w:pPr>
          </w:p>
        </w:tc>
        <w:tc>
          <w:tcPr>
            <w:tcW w:w="1985"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eastAsia="仿宋_GB2312"/>
                <w:color w:val="000000"/>
                <w:kern w:val="0"/>
                <w:sz w:val="28"/>
                <w:szCs w:val="28"/>
              </w:rPr>
            </w:pPr>
            <w:r>
              <w:rPr>
                <w:rFonts w:eastAsia="仿宋_GB2312"/>
                <w:color w:val="000000"/>
                <w:kern w:val="0"/>
                <w:sz w:val="28"/>
                <w:szCs w:val="28"/>
              </w:rPr>
              <w:t>市场消纳风险</w:t>
            </w:r>
          </w:p>
        </w:tc>
        <w:tc>
          <w:tcPr>
            <w:tcW w:w="95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color w:val="000000"/>
                <w:kern w:val="0"/>
                <w:sz w:val="28"/>
                <w:szCs w:val="28"/>
              </w:rPr>
            </w:pPr>
            <w:r>
              <w:rPr>
                <w:color w:val="000000"/>
                <w:kern w:val="0"/>
                <w:sz w:val="28"/>
                <w:szCs w:val="28"/>
              </w:rPr>
              <w:t>5</w:t>
            </w:r>
          </w:p>
        </w:tc>
        <w:tc>
          <w:tcPr>
            <w:tcW w:w="9474" w:type="dxa"/>
            <w:tcBorders>
              <w:top w:val="nil"/>
              <w:left w:val="nil"/>
              <w:bottom w:val="nil"/>
              <w:right w:val="single" w:color="auto" w:sz="8" w:space="0"/>
            </w:tcBorders>
            <w:shd w:val="clear" w:color="auto" w:fill="auto"/>
            <w:vAlign w:val="center"/>
          </w:tcPr>
          <w:p>
            <w:pPr>
              <w:widowControl/>
              <w:jc w:val="left"/>
              <w:rPr>
                <w:rFonts w:eastAsia="仿宋_GB2312"/>
                <w:color w:val="000000"/>
                <w:kern w:val="0"/>
                <w:sz w:val="28"/>
                <w:szCs w:val="28"/>
              </w:rPr>
            </w:pPr>
            <w:r>
              <w:rPr>
                <w:rFonts w:eastAsia="仿宋_GB2312"/>
                <w:color w:val="000000"/>
                <w:kern w:val="0"/>
                <w:sz w:val="28"/>
                <w:szCs w:val="28"/>
              </w:rPr>
              <w:t>按上年度可再生能源</w:t>
            </w:r>
            <w:r>
              <w:rPr>
                <w:rFonts w:hint="eastAsia" w:eastAsia="仿宋_GB2312"/>
                <w:color w:val="000000"/>
                <w:kern w:val="0"/>
                <w:sz w:val="28"/>
                <w:szCs w:val="28"/>
              </w:rPr>
              <w:t>（水电、风电、光伏发电）</w:t>
            </w:r>
            <w:r>
              <w:rPr>
                <w:rFonts w:eastAsia="仿宋_GB2312"/>
                <w:color w:val="000000"/>
                <w:kern w:val="0"/>
                <w:sz w:val="28"/>
                <w:szCs w:val="28"/>
              </w:rPr>
              <w:t>限电情况进行评分：</w:t>
            </w:r>
          </w:p>
        </w:tc>
      </w:tr>
      <w:tr>
        <w:tblPrEx>
          <w:tblLayout w:type="fixed"/>
          <w:tblCellMar>
            <w:top w:w="0" w:type="dxa"/>
            <w:left w:w="108" w:type="dxa"/>
            <w:bottom w:w="0" w:type="dxa"/>
            <w:right w:w="108" w:type="dxa"/>
          </w:tblCellMar>
        </w:tblPrEx>
        <w:trPr>
          <w:trHeight w:val="375" w:hRule="atLeast"/>
        </w:trPr>
        <w:tc>
          <w:tcPr>
            <w:tcW w:w="1243"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000000"/>
                <w:kern w:val="0"/>
                <w:sz w:val="28"/>
                <w:szCs w:val="28"/>
              </w:rPr>
            </w:pPr>
          </w:p>
        </w:tc>
        <w:tc>
          <w:tcPr>
            <w:tcW w:w="1985"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000000"/>
                <w:kern w:val="0"/>
                <w:sz w:val="28"/>
                <w:szCs w:val="28"/>
              </w:rPr>
            </w:pPr>
          </w:p>
        </w:tc>
        <w:tc>
          <w:tcPr>
            <w:tcW w:w="950" w:type="dxa"/>
            <w:vMerge w:val="continue"/>
            <w:tcBorders>
              <w:top w:val="nil"/>
              <w:left w:val="single" w:color="auto" w:sz="8" w:space="0"/>
              <w:bottom w:val="single" w:color="000000" w:sz="8" w:space="0"/>
              <w:right w:val="single" w:color="auto" w:sz="8" w:space="0"/>
            </w:tcBorders>
            <w:vAlign w:val="center"/>
          </w:tcPr>
          <w:p>
            <w:pPr>
              <w:widowControl/>
              <w:jc w:val="left"/>
              <w:rPr>
                <w:color w:val="000000"/>
                <w:kern w:val="0"/>
                <w:sz w:val="28"/>
                <w:szCs w:val="28"/>
              </w:rPr>
            </w:pPr>
          </w:p>
        </w:tc>
        <w:tc>
          <w:tcPr>
            <w:tcW w:w="9474" w:type="dxa"/>
            <w:tcBorders>
              <w:top w:val="nil"/>
              <w:left w:val="nil"/>
              <w:bottom w:val="nil"/>
              <w:right w:val="single" w:color="auto" w:sz="8" w:space="0"/>
            </w:tcBorders>
            <w:shd w:val="clear" w:color="auto" w:fill="auto"/>
            <w:vAlign w:val="center"/>
          </w:tcPr>
          <w:p>
            <w:pPr>
              <w:widowControl/>
              <w:jc w:val="left"/>
              <w:rPr>
                <w:rFonts w:eastAsia="仿宋_GB2312"/>
                <w:color w:val="000000"/>
                <w:kern w:val="0"/>
                <w:sz w:val="28"/>
                <w:szCs w:val="28"/>
              </w:rPr>
            </w:pPr>
            <w:r>
              <w:rPr>
                <w:rFonts w:eastAsia="仿宋_GB2312"/>
                <w:color w:val="000000"/>
                <w:kern w:val="0"/>
                <w:sz w:val="28"/>
                <w:szCs w:val="28"/>
              </w:rPr>
              <w:t>弃水率低于5%、弃风率低于10%</w:t>
            </w:r>
            <w:r>
              <w:rPr>
                <w:rFonts w:hint="eastAsia" w:eastAsia="仿宋_GB2312"/>
                <w:color w:val="000000"/>
                <w:kern w:val="0"/>
                <w:sz w:val="28"/>
                <w:szCs w:val="28"/>
              </w:rPr>
              <w:t>、</w:t>
            </w:r>
            <w:r>
              <w:rPr>
                <w:rFonts w:eastAsia="仿宋_GB2312"/>
                <w:color w:val="000000"/>
                <w:kern w:val="0"/>
                <w:sz w:val="28"/>
                <w:szCs w:val="28"/>
              </w:rPr>
              <w:t>且弃光率低于5%（5）；</w:t>
            </w:r>
          </w:p>
        </w:tc>
      </w:tr>
      <w:tr>
        <w:tblPrEx>
          <w:tblLayout w:type="fixed"/>
          <w:tblCellMar>
            <w:top w:w="0" w:type="dxa"/>
            <w:left w:w="108" w:type="dxa"/>
            <w:bottom w:w="0" w:type="dxa"/>
            <w:right w:w="108" w:type="dxa"/>
          </w:tblCellMar>
        </w:tblPrEx>
        <w:trPr>
          <w:trHeight w:val="390" w:hRule="atLeast"/>
        </w:trPr>
        <w:tc>
          <w:tcPr>
            <w:tcW w:w="1243"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000000"/>
                <w:kern w:val="0"/>
                <w:sz w:val="28"/>
                <w:szCs w:val="28"/>
              </w:rPr>
            </w:pPr>
          </w:p>
        </w:tc>
        <w:tc>
          <w:tcPr>
            <w:tcW w:w="1985"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000000"/>
                <w:kern w:val="0"/>
                <w:sz w:val="28"/>
                <w:szCs w:val="28"/>
              </w:rPr>
            </w:pPr>
          </w:p>
        </w:tc>
        <w:tc>
          <w:tcPr>
            <w:tcW w:w="950" w:type="dxa"/>
            <w:vMerge w:val="continue"/>
            <w:tcBorders>
              <w:top w:val="nil"/>
              <w:left w:val="single" w:color="auto" w:sz="8" w:space="0"/>
              <w:bottom w:val="single" w:color="000000" w:sz="8" w:space="0"/>
              <w:right w:val="single" w:color="auto" w:sz="8" w:space="0"/>
            </w:tcBorders>
            <w:vAlign w:val="center"/>
          </w:tcPr>
          <w:p>
            <w:pPr>
              <w:widowControl/>
              <w:jc w:val="left"/>
              <w:rPr>
                <w:color w:val="000000"/>
                <w:kern w:val="0"/>
                <w:sz w:val="28"/>
                <w:szCs w:val="28"/>
              </w:rPr>
            </w:pPr>
          </w:p>
        </w:tc>
        <w:tc>
          <w:tcPr>
            <w:tcW w:w="9474" w:type="dxa"/>
            <w:tcBorders>
              <w:top w:val="nil"/>
              <w:left w:val="nil"/>
              <w:bottom w:val="single" w:color="auto" w:sz="8" w:space="0"/>
              <w:right w:val="single" w:color="auto" w:sz="8" w:space="0"/>
            </w:tcBorders>
            <w:shd w:val="clear" w:color="auto" w:fill="auto"/>
            <w:vAlign w:val="center"/>
          </w:tcPr>
          <w:p>
            <w:pPr>
              <w:widowControl/>
              <w:jc w:val="left"/>
              <w:rPr>
                <w:rFonts w:eastAsia="仿宋_GB2312"/>
                <w:color w:val="000000"/>
                <w:kern w:val="0"/>
                <w:sz w:val="28"/>
                <w:szCs w:val="28"/>
              </w:rPr>
            </w:pPr>
            <w:r>
              <w:rPr>
                <w:rFonts w:eastAsia="仿宋_GB2312"/>
                <w:color w:val="000000"/>
                <w:kern w:val="0"/>
                <w:sz w:val="28"/>
                <w:szCs w:val="28"/>
              </w:rPr>
              <w:t>存在弃水率超过5%、弃风率超过10%、弃光率超过5%中的任意一种情况（-5）；</w:t>
            </w:r>
          </w:p>
        </w:tc>
      </w:tr>
      <w:tr>
        <w:tblPrEx>
          <w:tblLayout w:type="fixed"/>
          <w:tblCellMar>
            <w:top w:w="0" w:type="dxa"/>
            <w:left w:w="108" w:type="dxa"/>
            <w:bottom w:w="0" w:type="dxa"/>
            <w:right w:w="108" w:type="dxa"/>
          </w:tblCellMar>
        </w:tblPrEx>
        <w:trPr>
          <w:trHeight w:val="624" w:hRule="atLeast"/>
        </w:trPr>
        <w:tc>
          <w:tcPr>
            <w:tcW w:w="1243"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000000"/>
                <w:kern w:val="0"/>
                <w:sz w:val="28"/>
                <w:szCs w:val="28"/>
              </w:rPr>
            </w:pPr>
          </w:p>
        </w:tc>
        <w:tc>
          <w:tcPr>
            <w:tcW w:w="1985"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eastAsia="仿宋_GB2312"/>
                <w:color w:val="000000"/>
                <w:kern w:val="0"/>
                <w:sz w:val="28"/>
                <w:szCs w:val="28"/>
              </w:rPr>
            </w:pPr>
            <w:r>
              <w:rPr>
                <w:rFonts w:eastAsia="仿宋_GB2312"/>
                <w:color w:val="000000"/>
                <w:kern w:val="0"/>
                <w:sz w:val="28"/>
                <w:szCs w:val="28"/>
              </w:rPr>
              <w:t>新能源参与电力交易程度</w:t>
            </w:r>
          </w:p>
        </w:tc>
        <w:tc>
          <w:tcPr>
            <w:tcW w:w="95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color w:val="000000"/>
                <w:kern w:val="0"/>
                <w:sz w:val="28"/>
                <w:szCs w:val="28"/>
              </w:rPr>
            </w:pPr>
            <w:r>
              <w:rPr>
                <w:color w:val="000000"/>
                <w:kern w:val="0"/>
                <w:sz w:val="28"/>
                <w:szCs w:val="28"/>
              </w:rPr>
              <w:t>5</w:t>
            </w:r>
          </w:p>
        </w:tc>
        <w:tc>
          <w:tcPr>
            <w:tcW w:w="9474"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eastAsia="仿宋_GB2312"/>
                <w:color w:val="000000"/>
                <w:kern w:val="0"/>
                <w:sz w:val="28"/>
                <w:szCs w:val="28"/>
              </w:rPr>
            </w:pPr>
            <w:r>
              <w:rPr>
                <w:rFonts w:eastAsia="仿宋_GB2312"/>
                <w:color w:val="000000"/>
                <w:kern w:val="0"/>
                <w:sz w:val="28"/>
                <w:szCs w:val="28"/>
              </w:rPr>
              <w:t>全部可再生能源发电（不含水电）保障性收购；或地方政府出台政策，保障性小时数之内的电量不参与交易，之外的电量参与交易（5分）；</w:t>
            </w:r>
          </w:p>
        </w:tc>
      </w:tr>
      <w:tr>
        <w:tblPrEx>
          <w:tblLayout w:type="fixed"/>
          <w:tblCellMar>
            <w:top w:w="0" w:type="dxa"/>
            <w:left w:w="108" w:type="dxa"/>
            <w:bottom w:w="0" w:type="dxa"/>
            <w:right w:w="108" w:type="dxa"/>
          </w:tblCellMar>
        </w:tblPrEx>
        <w:trPr>
          <w:trHeight w:val="624" w:hRule="atLeast"/>
        </w:trPr>
        <w:tc>
          <w:tcPr>
            <w:tcW w:w="1243"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000000"/>
                <w:kern w:val="0"/>
                <w:sz w:val="28"/>
                <w:szCs w:val="28"/>
              </w:rPr>
            </w:pPr>
          </w:p>
        </w:tc>
        <w:tc>
          <w:tcPr>
            <w:tcW w:w="1985"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000000"/>
                <w:kern w:val="0"/>
                <w:sz w:val="28"/>
                <w:szCs w:val="28"/>
              </w:rPr>
            </w:pPr>
          </w:p>
        </w:tc>
        <w:tc>
          <w:tcPr>
            <w:tcW w:w="950" w:type="dxa"/>
            <w:vMerge w:val="continue"/>
            <w:tcBorders>
              <w:top w:val="nil"/>
              <w:left w:val="single" w:color="auto" w:sz="8" w:space="0"/>
              <w:bottom w:val="single" w:color="000000" w:sz="8" w:space="0"/>
              <w:right w:val="single" w:color="auto" w:sz="8" w:space="0"/>
            </w:tcBorders>
            <w:vAlign w:val="center"/>
          </w:tcPr>
          <w:p>
            <w:pPr>
              <w:widowControl/>
              <w:jc w:val="left"/>
              <w:rPr>
                <w:color w:val="000000"/>
                <w:kern w:val="0"/>
                <w:sz w:val="28"/>
                <w:szCs w:val="28"/>
              </w:rPr>
            </w:pPr>
          </w:p>
        </w:tc>
        <w:tc>
          <w:tcPr>
            <w:tcW w:w="9474" w:type="dxa"/>
            <w:vMerge w:val="continue"/>
            <w:tcBorders>
              <w:top w:val="single" w:color="auto" w:sz="8" w:space="0"/>
              <w:left w:val="single" w:color="auto" w:sz="8" w:space="0"/>
              <w:bottom w:val="single" w:color="auto" w:sz="4" w:space="0"/>
              <w:right w:val="single" w:color="auto" w:sz="8" w:space="0"/>
            </w:tcBorders>
            <w:vAlign w:val="center"/>
          </w:tcPr>
          <w:p>
            <w:pPr>
              <w:widowControl/>
              <w:jc w:val="left"/>
              <w:rPr>
                <w:rFonts w:eastAsia="仿宋_GB2312"/>
                <w:color w:val="000000"/>
                <w:kern w:val="0"/>
                <w:sz w:val="28"/>
                <w:szCs w:val="28"/>
              </w:rPr>
            </w:pPr>
          </w:p>
        </w:tc>
      </w:tr>
      <w:tr>
        <w:tblPrEx>
          <w:tblLayout w:type="fixed"/>
          <w:tblCellMar>
            <w:top w:w="0" w:type="dxa"/>
            <w:left w:w="108" w:type="dxa"/>
            <w:bottom w:w="0" w:type="dxa"/>
            <w:right w:w="108" w:type="dxa"/>
          </w:tblCellMar>
        </w:tblPrEx>
        <w:trPr>
          <w:trHeight w:val="750" w:hRule="atLeast"/>
        </w:trPr>
        <w:tc>
          <w:tcPr>
            <w:tcW w:w="1243"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000000"/>
                <w:kern w:val="0"/>
                <w:sz w:val="28"/>
                <w:szCs w:val="28"/>
              </w:rPr>
            </w:pPr>
          </w:p>
        </w:tc>
        <w:tc>
          <w:tcPr>
            <w:tcW w:w="1985"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000000"/>
                <w:kern w:val="0"/>
                <w:sz w:val="28"/>
                <w:szCs w:val="28"/>
              </w:rPr>
            </w:pPr>
          </w:p>
        </w:tc>
        <w:tc>
          <w:tcPr>
            <w:tcW w:w="950" w:type="dxa"/>
            <w:vMerge w:val="continue"/>
            <w:tcBorders>
              <w:top w:val="nil"/>
              <w:left w:val="single" w:color="auto" w:sz="8" w:space="0"/>
              <w:bottom w:val="single" w:color="000000" w:sz="8" w:space="0"/>
              <w:right w:val="single" w:color="auto" w:sz="8" w:space="0"/>
            </w:tcBorders>
            <w:vAlign w:val="center"/>
          </w:tcPr>
          <w:p>
            <w:pPr>
              <w:widowControl/>
              <w:jc w:val="left"/>
              <w:rPr>
                <w:color w:val="000000"/>
                <w:kern w:val="0"/>
                <w:sz w:val="28"/>
                <w:szCs w:val="28"/>
              </w:rPr>
            </w:pPr>
          </w:p>
        </w:tc>
        <w:tc>
          <w:tcPr>
            <w:tcW w:w="9474" w:type="dxa"/>
            <w:tcBorders>
              <w:top w:val="single" w:color="auto" w:sz="4" w:space="0"/>
              <w:left w:val="nil"/>
              <w:bottom w:val="nil"/>
              <w:right w:val="single" w:color="auto" w:sz="8" w:space="0"/>
            </w:tcBorders>
            <w:shd w:val="clear" w:color="auto" w:fill="auto"/>
            <w:vAlign w:val="center"/>
          </w:tcPr>
          <w:p>
            <w:pPr>
              <w:widowControl/>
              <w:jc w:val="left"/>
              <w:rPr>
                <w:rFonts w:eastAsia="仿宋_GB2312"/>
                <w:color w:val="000000"/>
                <w:kern w:val="0"/>
                <w:sz w:val="28"/>
                <w:szCs w:val="28"/>
              </w:rPr>
            </w:pPr>
            <w:r>
              <w:rPr>
                <w:rFonts w:eastAsia="仿宋_GB2312"/>
                <w:color w:val="000000"/>
                <w:kern w:val="0"/>
                <w:sz w:val="28"/>
                <w:szCs w:val="28"/>
              </w:rPr>
              <w:t>地方政府出台政策，保量保价收购小时数低于国家核定的保障性小时数，其余电量参与交易，保障比例不低于60%（-3分）；</w:t>
            </w:r>
          </w:p>
        </w:tc>
      </w:tr>
      <w:tr>
        <w:tblPrEx>
          <w:tblLayout w:type="fixed"/>
          <w:tblCellMar>
            <w:top w:w="0" w:type="dxa"/>
            <w:left w:w="108" w:type="dxa"/>
            <w:bottom w:w="0" w:type="dxa"/>
            <w:right w:w="108" w:type="dxa"/>
          </w:tblCellMar>
        </w:tblPrEx>
        <w:trPr>
          <w:trHeight w:val="780" w:hRule="atLeast"/>
        </w:trPr>
        <w:tc>
          <w:tcPr>
            <w:tcW w:w="1243"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000000"/>
                <w:kern w:val="0"/>
                <w:sz w:val="28"/>
                <w:szCs w:val="28"/>
              </w:rPr>
            </w:pPr>
          </w:p>
        </w:tc>
        <w:tc>
          <w:tcPr>
            <w:tcW w:w="1985"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000000"/>
                <w:kern w:val="0"/>
                <w:sz w:val="28"/>
                <w:szCs w:val="28"/>
              </w:rPr>
            </w:pPr>
          </w:p>
        </w:tc>
        <w:tc>
          <w:tcPr>
            <w:tcW w:w="950" w:type="dxa"/>
            <w:vMerge w:val="continue"/>
            <w:tcBorders>
              <w:top w:val="nil"/>
              <w:left w:val="single" w:color="auto" w:sz="8" w:space="0"/>
              <w:bottom w:val="single" w:color="000000" w:sz="8" w:space="0"/>
              <w:right w:val="single" w:color="auto" w:sz="8" w:space="0"/>
            </w:tcBorders>
            <w:vAlign w:val="center"/>
          </w:tcPr>
          <w:p>
            <w:pPr>
              <w:widowControl/>
              <w:jc w:val="left"/>
              <w:rPr>
                <w:color w:val="000000"/>
                <w:kern w:val="0"/>
                <w:sz w:val="28"/>
                <w:szCs w:val="28"/>
              </w:rPr>
            </w:pPr>
          </w:p>
        </w:tc>
        <w:tc>
          <w:tcPr>
            <w:tcW w:w="9474" w:type="dxa"/>
            <w:tcBorders>
              <w:top w:val="nil"/>
              <w:left w:val="nil"/>
              <w:bottom w:val="single" w:color="auto" w:sz="8" w:space="0"/>
              <w:right w:val="single" w:color="auto" w:sz="8" w:space="0"/>
            </w:tcBorders>
            <w:shd w:val="clear" w:color="auto" w:fill="auto"/>
            <w:vAlign w:val="center"/>
          </w:tcPr>
          <w:p>
            <w:pPr>
              <w:widowControl/>
              <w:jc w:val="left"/>
              <w:rPr>
                <w:rFonts w:eastAsia="仿宋_GB2312"/>
                <w:color w:val="000000"/>
                <w:kern w:val="0"/>
                <w:sz w:val="28"/>
                <w:szCs w:val="28"/>
              </w:rPr>
            </w:pPr>
            <w:r>
              <w:rPr>
                <w:rFonts w:eastAsia="仿宋_GB2312"/>
                <w:color w:val="000000"/>
                <w:kern w:val="0"/>
                <w:sz w:val="28"/>
                <w:szCs w:val="28"/>
              </w:rPr>
              <w:t>地方政府出台政策，要求全部可再生能源电量（不含水电）参与交易或保障比例低于60%（-5分）。</w:t>
            </w:r>
          </w:p>
        </w:tc>
      </w:tr>
      <w:tr>
        <w:tblPrEx>
          <w:tblLayout w:type="fixed"/>
          <w:tblCellMar>
            <w:top w:w="0" w:type="dxa"/>
            <w:left w:w="108" w:type="dxa"/>
            <w:bottom w:w="0" w:type="dxa"/>
            <w:right w:w="108" w:type="dxa"/>
          </w:tblCellMar>
        </w:tblPrEx>
        <w:trPr>
          <w:trHeight w:val="375" w:hRule="atLeast"/>
        </w:trPr>
        <w:tc>
          <w:tcPr>
            <w:tcW w:w="1243"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eastAsia="仿宋_GB2312"/>
                <w:color w:val="000000"/>
                <w:kern w:val="0"/>
                <w:sz w:val="28"/>
                <w:szCs w:val="28"/>
              </w:rPr>
            </w:pPr>
            <w:r>
              <w:rPr>
                <w:rFonts w:eastAsia="仿宋_GB2312"/>
                <w:color w:val="000000"/>
                <w:kern w:val="0"/>
                <w:sz w:val="28"/>
                <w:szCs w:val="28"/>
              </w:rPr>
              <w:t>竞争力指标</w:t>
            </w:r>
          </w:p>
        </w:tc>
        <w:tc>
          <w:tcPr>
            <w:tcW w:w="1985"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eastAsia="仿宋_GB2312"/>
                <w:color w:val="000000"/>
                <w:kern w:val="0"/>
                <w:sz w:val="28"/>
                <w:szCs w:val="28"/>
              </w:rPr>
            </w:pPr>
            <w:r>
              <w:rPr>
                <w:rFonts w:eastAsia="仿宋_GB2312"/>
                <w:color w:val="000000"/>
                <w:kern w:val="0"/>
                <w:sz w:val="28"/>
                <w:szCs w:val="28"/>
              </w:rPr>
              <w:t>土地类型及成本</w:t>
            </w:r>
          </w:p>
        </w:tc>
        <w:tc>
          <w:tcPr>
            <w:tcW w:w="95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color w:val="000000"/>
                <w:kern w:val="0"/>
                <w:sz w:val="28"/>
                <w:szCs w:val="28"/>
              </w:rPr>
            </w:pPr>
            <w:r>
              <w:rPr>
                <w:color w:val="000000"/>
                <w:kern w:val="0"/>
                <w:sz w:val="28"/>
                <w:szCs w:val="28"/>
              </w:rPr>
              <w:t>20</w:t>
            </w:r>
          </w:p>
        </w:tc>
        <w:tc>
          <w:tcPr>
            <w:tcW w:w="9474" w:type="dxa"/>
            <w:tcBorders>
              <w:top w:val="nil"/>
              <w:left w:val="nil"/>
              <w:bottom w:val="nil"/>
              <w:right w:val="single" w:color="auto" w:sz="8" w:space="0"/>
            </w:tcBorders>
            <w:shd w:val="clear" w:color="auto" w:fill="auto"/>
            <w:vAlign w:val="center"/>
          </w:tcPr>
          <w:p>
            <w:pPr>
              <w:widowControl/>
              <w:jc w:val="left"/>
              <w:rPr>
                <w:rFonts w:eastAsia="仿宋_GB2312"/>
                <w:color w:val="000000"/>
                <w:kern w:val="0"/>
                <w:sz w:val="28"/>
                <w:szCs w:val="28"/>
              </w:rPr>
            </w:pPr>
            <w:r>
              <w:rPr>
                <w:rFonts w:eastAsia="仿宋_GB2312"/>
                <w:color w:val="000000"/>
                <w:kern w:val="0"/>
                <w:sz w:val="28"/>
                <w:szCs w:val="28"/>
              </w:rPr>
              <w:t>按照上年度调查的光伏电站土地使用成本及税费评分：</w:t>
            </w:r>
          </w:p>
        </w:tc>
      </w:tr>
      <w:tr>
        <w:tblPrEx>
          <w:tblLayout w:type="fixed"/>
          <w:tblCellMar>
            <w:top w:w="0" w:type="dxa"/>
            <w:left w:w="108" w:type="dxa"/>
            <w:bottom w:w="0" w:type="dxa"/>
            <w:right w:w="108" w:type="dxa"/>
          </w:tblCellMar>
        </w:tblPrEx>
        <w:trPr>
          <w:trHeight w:val="495" w:hRule="atLeast"/>
        </w:trPr>
        <w:tc>
          <w:tcPr>
            <w:tcW w:w="1243"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000000"/>
                <w:kern w:val="0"/>
                <w:sz w:val="28"/>
                <w:szCs w:val="28"/>
              </w:rPr>
            </w:pPr>
          </w:p>
        </w:tc>
        <w:tc>
          <w:tcPr>
            <w:tcW w:w="1985"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000000"/>
                <w:kern w:val="0"/>
                <w:sz w:val="28"/>
                <w:szCs w:val="28"/>
              </w:rPr>
            </w:pPr>
          </w:p>
        </w:tc>
        <w:tc>
          <w:tcPr>
            <w:tcW w:w="950" w:type="dxa"/>
            <w:vMerge w:val="continue"/>
            <w:tcBorders>
              <w:top w:val="nil"/>
              <w:left w:val="single" w:color="auto" w:sz="8" w:space="0"/>
              <w:bottom w:val="single" w:color="000000" w:sz="8" w:space="0"/>
              <w:right w:val="single" w:color="auto" w:sz="8" w:space="0"/>
            </w:tcBorders>
            <w:vAlign w:val="center"/>
          </w:tcPr>
          <w:p>
            <w:pPr>
              <w:widowControl/>
              <w:jc w:val="left"/>
              <w:rPr>
                <w:color w:val="000000"/>
                <w:kern w:val="0"/>
                <w:sz w:val="28"/>
                <w:szCs w:val="28"/>
              </w:rPr>
            </w:pPr>
          </w:p>
        </w:tc>
        <w:tc>
          <w:tcPr>
            <w:tcW w:w="9474" w:type="dxa"/>
            <w:tcBorders>
              <w:top w:val="nil"/>
              <w:left w:val="nil"/>
              <w:bottom w:val="nil"/>
              <w:right w:val="single" w:color="auto" w:sz="8" w:space="0"/>
            </w:tcBorders>
            <w:shd w:val="clear" w:color="auto" w:fill="auto"/>
            <w:vAlign w:val="center"/>
          </w:tcPr>
          <w:p>
            <w:pPr>
              <w:widowControl/>
              <w:jc w:val="left"/>
              <w:rPr>
                <w:rFonts w:eastAsia="仿宋_GB2312"/>
                <w:color w:val="000000"/>
                <w:kern w:val="0"/>
                <w:sz w:val="28"/>
                <w:szCs w:val="28"/>
              </w:rPr>
            </w:pPr>
            <w:r>
              <w:rPr>
                <w:rFonts w:eastAsia="仿宋_GB2312"/>
                <w:color w:val="000000"/>
                <w:kern w:val="0"/>
                <w:sz w:val="28"/>
                <w:szCs w:val="28"/>
              </w:rPr>
              <w:t>土地租金每亩低于300元，不征收城镇土地使用税，不属于征收耕地占用税的农用地（20分）；</w:t>
            </w:r>
          </w:p>
        </w:tc>
      </w:tr>
      <w:tr>
        <w:tblPrEx>
          <w:tblLayout w:type="fixed"/>
          <w:tblCellMar>
            <w:top w:w="0" w:type="dxa"/>
            <w:left w:w="108" w:type="dxa"/>
            <w:bottom w:w="0" w:type="dxa"/>
            <w:right w:w="108" w:type="dxa"/>
          </w:tblCellMar>
        </w:tblPrEx>
        <w:trPr>
          <w:trHeight w:val="360" w:hRule="atLeast"/>
        </w:trPr>
        <w:tc>
          <w:tcPr>
            <w:tcW w:w="1243"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000000"/>
                <w:kern w:val="0"/>
                <w:sz w:val="28"/>
                <w:szCs w:val="28"/>
              </w:rPr>
            </w:pPr>
          </w:p>
        </w:tc>
        <w:tc>
          <w:tcPr>
            <w:tcW w:w="1985"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000000"/>
                <w:kern w:val="0"/>
                <w:sz w:val="28"/>
                <w:szCs w:val="28"/>
              </w:rPr>
            </w:pPr>
          </w:p>
        </w:tc>
        <w:tc>
          <w:tcPr>
            <w:tcW w:w="950" w:type="dxa"/>
            <w:vMerge w:val="continue"/>
            <w:tcBorders>
              <w:top w:val="nil"/>
              <w:left w:val="single" w:color="auto" w:sz="8" w:space="0"/>
              <w:bottom w:val="single" w:color="000000" w:sz="8" w:space="0"/>
              <w:right w:val="single" w:color="auto" w:sz="8" w:space="0"/>
            </w:tcBorders>
            <w:vAlign w:val="center"/>
          </w:tcPr>
          <w:p>
            <w:pPr>
              <w:widowControl/>
              <w:jc w:val="left"/>
              <w:rPr>
                <w:color w:val="000000"/>
                <w:kern w:val="0"/>
                <w:sz w:val="28"/>
                <w:szCs w:val="28"/>
              </w:rPr>
            </w:pPr>
          </w:p>
        </w:tc>
        <w:tc>
          <w:tcPr>
            <w:tcW w:w="9474" w:type="dxa"/>
            <w:tcBorders>
              <w:top w:val="nil"/>
              <w:left w:val="nil"/>
              <w:bottom w:val="nil"/>
              <w:right w:val="single" w:color="auto" w:sz="8" w:space="0"/>
            </w:tcBorders>
            <w:shd w:val="clear" w:color="auto" w:fill="auto"/>
            <w:vAlign w:val="center"/>
          </w:tcPr>
          <w:p>
            <w:pPr>
              <w:widowControl/>
              <w:jc w:val="left"/>
              <w:rPr>
                <w:rFonts w:eastAsia="仿宋_GB2312"/>
                <w:color w:val="000000"/>
                <w:kern w:val="0"/>
                <w:sz w:val="28"/>
                <w:szCs w:val="28"/>
              </w:rPr>
            </w:pPr>
            <w:r>
              <w:rPr>
                <w:rFonts w:eastAsia="仿宋_GB2312"/>
                <w:color w:val="000000"/>
                <w:kern w:val="0"/>
                <w:sz w:val="28"/>
                <w:szCs w:val="28"/>
              </w:rPr>
              <w:t>土地租金每亩高于300元，不征收城镇土地使用税（10分）；</w:t>
            </w:r>
          </w:p>
        </w:tc>
      </w:tr>
      <w:tr>
        <w:tblPrEx>
          <w:tblLayout w:type="fixed"/>
          <w:tblCellMar>
            <w:top w:w="0" w:type="dxa"/>
            <w:left w:w="108" w:type="dxa"/>
            <w:bottom w:w="0" w:type="dxa"/>
            <w:right w:w="108" w:type="dxa"/>
          </w:tblCellMar>
        </w:tblPrEx>
        <w:trPr>
          <w:trHeight w:val="360" w:hRule="atLeast"/>
        </w:trPr>
        <w:tc>
          <w:tcPr>
            <w:tcW w:w="1243"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000000"/>
                <w:kern w:val="0"/>
                <w:sz w:val="28"/>
                <w:szCs w:val="28"/>
              </w:rPr>
            </w:pPr>
          </w:p>
        </w:tc>
        <w:tc>
          <w:tcPr>
            <w:tcW w:w="1985"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000000"/>
                <w:kern w:val="0"/>
                <w:sz w:val="28"/>
                <w:szCs w:val="28"/>
              </w:rPr>
            </w:pPr>
          </w:p>
        </w:tc>
        <w:tc>
          <w:tcPr>
            <w:tcW w:w="950" w:type="dxa"/>
            <w:vMerge w:val="continue"/>
            <w:tcBorders>
              <w:top w:val="nil"/>
              <w:left w:val="single" w:color="auto" w:sz="8" w:space="0"/>
              <w:bottom w:val="single" w:color="000000" w:sz="8" w:space="0"/>
              <w:right w:val="single" w:color="auto" w:sz="8" w:space="0"/>
            </w:tcBorders>
            <w:vAlign w:val="center"/>
          </w:tcPr>
          <w:p>
            <w:pPr>
              <w:widowControl/>
              <w:jc w:val="left"/>
              <w:rPr>
                <w:color w:val="000000"/>
                <w:kern w:val="0"/>
                <w:sz w:val="28"/>
                <w:szCs w:val="28"/>
              </w:rPr>
            </w:pPr>
          </w:p>
        </w:tc>
        <w:tc>
          <w:tcPr>
            <w:tcW w:w="9474" w:type="dxa"/>
            <w:tcBorders>
              <w:top w:val="nil"/>
              <w:left w:val="nil"/>
              <w:bottom w:val="single" w:color="auto" w:sz="8" w:space="0"/>
              <w:right w:val="single" w:color="auto" w:sz="8" w:space="0"/>
            </w:tcBorders>
            <w:shd w:val="clear" w:color="auto" w:fill="auto"/>
            <w:vAlign w:val="center"/>
          </w:tcPr>
          <w:p>
            <w:pPr>
              <w:widowControl/>
              <w:jc w:val="left"/>
              <w:rPr>
                <w:rFonts w:eastAsia="仿宋_GB2312"/>
                <w:color w:val="000000"/>
                <w:kern w:val="0"/>
                <w:sz w:val="28"/>
                <w:szCs w:val="28"/>
              </w:rPr>
            </w:pPr>
            <w:r>
              <w:rPr>
                <w:rFonts w:eastAsia="仿宋_GB2312"/>
                <w:color w:val="000000"/>
                <w:kern w:val="0"/>
                <w:sz w:val="28"/>
                <w:szCs w:val="28"/>
              </w:rPr>
              <w:t>征收城镇土地使用税，按全部面积征收耕地占用税（0分）。</w:t>
            </w:r>
          </w:p>
        </w:tc>
      </w:tr>
      <w:tr>
        <w:tblPrEx>
          <w:tblLayout w:type="fixed"/>
          <w:tblCellMar>
            <w:top w:w="0" w:type="dxa"/>
            <w:left w:w="108" w:type="dxa"/>
            <w:bottom w:w="0" w:type="dxa"/>
            <w:right w:w="108" w:type="dxa"/>
          </w:tblCellMar>
        </w:tblPrEx>
        <w:trPr>
          <w:trHeight w:val="765" w:hRule="atLeast"/>
        </w:trPr>
        <w:tc>
          <w:tcPr>
            <w:tcW w:w="1243"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000000"/>
                <w:kern w:val="0"/>
                <w:sz w:val="28"/>
                <w:szCs w:val="28"/>
              </w:rPr>
            </w:pPr>
          </w:p>
        </w:tc>
        <w:tc>
          <w:tcPr>
            <w:tcW w:w="1985"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eastAsia="仿宋_GB2312"/>
                <w:color w:val="000000"/>
                <w:kern w:val="0"/>
                <w:sz w:val="28"/>
                <w:szCs w:val="28"/>
              </w:rPr>
            </w:pPr>
            <w:r>
              <w:rPr>
                <w:rFonts w:eastAsia="仿宋_GB2312"/>
                <w:color w:val="000000"/>
                <w:kern w:val="0"/>
                <w:sz w:val="28"/>
                <w:szCs w:val="28"/>
              </w:rPr>
              <w:t>电网服务</w:t>
            </w:r>
          </w:p>
        </w:tc>
        <w:tc>
          <w:tcPr>
            <w:tcW w:w="95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color w:val="000000"/>
                <w:kern w:val="0"/>
                <w:sz w:val="28"/>
                <w:szCs w:val="28"/>
              </w:rPr>
            </w:pPr>
            <w:r>
              <w:rPr>
                <w:color w:val="000000"/>
                <w:kern w:val="0"/>
                <w:sz w:val="28"/>
                <w:szCs w:val="28"/>
              </w:rPr>
              <w:t>10</w:t>
            </w:r>
          </w:p>
        </w:tc>
        <w:tc>
          <w:tcPr>
            <w:tcW w:w="9474" w:type="dxa"/>
            <w:tcBorders>
              <w:top w:val="single" w:color="auto" w:sz="8" w:space="0"/>
              <w:left w:val="nil"/>
              <w:bottom w:val="nil"/>
              <w:right w:val="single" w:color="auto" w:sz="8" w:space="0"/>
            </w:tcBorders>
            <w:shd w:val="clear" w:color="auto" w:fill="auto"/>
            <w:vAlign w:val="center"/>
          </w:tcPr>
          <w:p>
            <w:pPr>
              <w:widowControl/>
              <w:jc w:val="left"/>
              <w:rPr>
                <w:rFonts w:eastAsia="仿宋_GB2312"/>
                <w:color w:val="000000"/>
                <w:kern w:val="0"/>
                <w:sz w:val="28"/>
                <w:szCs w:val="28"/>
              </w:rPr>
            </w:pPr>
            <w:r>
              <w:rPr>
                <w:rFonts w:eastAsia="仿宋_GB2312"/>
                <w:color w:val="000000"/>
                <w:kern w:val="0"/>
                <w:sz w:val="28"/>
                <w:szCs w:val="28"/>
              </w:rPr>
              <w:t>省级电网按项目建设周期及时建设配套送出工程，对以前企业投资建设送出工程已回购或已制定明确回购计划（10分）；</w:t>
            </w:r>
          </w:p>
        </w:tc>
      </w:tr>
      <w:tr>
        <w:tblPrEx>
          <w:tblLayout w:type="fixed"/>
          <w:tblCellMar>
            <w:top w:w="0" w:type="dxa"/>
            <w:left w:w="108" w:type="dxa"/>
            <w:bottom w:w="0" w:type="dxa"/>
            <w:right w:w="108" w:type="dxa"/>
          </w:tblCellMar>
        </w:tblPrEx>
        <w:trPr>
          <w:trHeight w:val="390" w:hRule="atLeast"/>
        </w:trPr>
        <w:tc>
          <w:tcPr>
            <w:tcW w:w="1243"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000000"/>
                <w:kern w:val="0"/>
                <w:sz w:val="28"/>
                <w:szCs w:val="28"/>
              </w:rPr>
            </w:pPr>
          </w:p>
        </w:tc>
        <w:tc>
          <w:tcPr>
            <w:tcW w:w="1985"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000000"/>
                <w:kern w:val="0"/>
                <w:sz w:val="28"/>
                <w:szCs w:val="28"/>
              </w:rPr>
            </w:pPr>
          </w:p>
        </w:tc>
        <w:tc>
          <w:tcPr>
            <w:tcW w:w="950" w:type="dxa"/>
            <w:vMerge w:val="continue"/>
            <w:tcBorders>
              <w:top w:val="nil"/>
              <w:left w:val="single" w:color="auto" w:sz="8" w:space="0"/>
              <w:bottom w:val="single" w:color="000000" w:sz="8" w:space="0"/>
              <w:right w:val="single" w:color="auto" w:sz="8" w:space="0"/>
            </w:tcBorders>
            <w:vAlign w:val="center"/>
          </w:tcPr>
          <w:p>
            <w:pPr>
              <w:widowControl/>
              <w:jc w:val="left"/>
              <w:rPr>
                <w:color w:val="000000"/>
                <w:kern w:val="0"/>
                <w:sz w:val="28"/>
                <w:szCs w:val="28"/>
              </w:rPr>
            </w:pPr>
          </w:p>
        </w:tc>
        <w:tc>
          <w:tcPr>
            <w:tcW w:w="9474" w:type="dxa"/>
            <w:tcBorders>
              <w:top w:val="nil"/>
              <w:left w:val="nil"/>
              <w:bottom w:val="single" w:color="auto" w:sz="4" w:space="0"/>
              <w:right w:val="single" w:color="auto" w:sz="8" w:space="0"/>
            </w:tcBorders>
            <w:shd w:val="clear" w:color="auto" w:fill="auto"/>
            <w:vAlign w:val="center"/>
          </w:tcPr>
          <w:p>
            <w:pPr>
              <w:widowControl/>
              <w:jc w:val="left"/>
              <w:rPr>
                <w:rFonts w:eastAsia="仿宋_GB2312"/>
                <w:color w:val="000000"/>
                <w:kern w:val="0"/>
                <w:sz w:val="28"/>
                <w:szCs w:val="28"/>
              </w:rPr>
            </w:pPr>
            <w:r>
              <w:rPr>
                <w:rFonts w:eastAsia="仿宋_GB2312"/>
                <w:color w:val="000000"/>
                <w:kern w:val="0"/>
                <w:sz w:val="28"/>
                <w:szCs w:val="28"/>
              </w:rPr>
              <w:t>电网推迟建设配套送出工程但及时回购企业自建的送出工程（5分）；</w:t>
            </w:r>
          </w:p>
        </w:tc>
      </w:tr>
      <w:tr>
        <w:tblPrEx>
          <w:tblLayout w:type="fixed"/>
          <w:tblCellMar>
            <w:top w:w="0" w:type="dxa"/>
            <w:left w:w="108" w:type="dxa"/>
            <w:bottom w:w="0" w:type="dxa"/>
            <w:right w:w="108" w:type="dxa"/>
          </w:tblCellMar>
        </w:tblPrEx>
        <w:trPr>
          <w:trHeight w:val="405" w:hRule="atLeast"/>
        </w:trPr>
        <w:tc>
          <w:tcPr>
            <w:tcW w:w="1243"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000000"/>
                <w:kern w:val="0"/>
                <w:sz w:val="28"/>
                <w:szCs w:val="28"/>
              </w:rPr>
            </w:pPr>
          </w:p>
        </w:tc>
        <w:tc>
          <w:tcPr>
            <w:tcW w:w="1985"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000000"/>
                <w:kern w:val="0"/>
                <w:sz w:val="28"/>
                <w:szCs w:val="28"/>
              </w:rPr>
            </w:pPr>
          </w:p>
        </w:tc>
        <w:tc>
          <w:tcPr>
            <w:tcW w:w="950" w:type="dxa"/>
            <w:vMerge w:val="continue"/>
            <w:tcBorders>
              <w:top w:val="nil"/>
              <w:left w:val="single" w:color="auto" w:sz="8" w:space="0"/>
              <w:bottom w:val="single" w:color="000000" w:sz="8" w:space="0"/>
              <w:right w:val="single" w:color="auto" w:sz="8" w:space="0"/>
            </w:tcBorders>
            <w:vAlign w:val="center"/>
          </w:tcPr>
          <w:p>
            <w:pPr>
              <w:widowControl/>
              <w:jc w:val="left"/>
              <w:rPr>
                <w:color w:val="000000"/>
                <w:kern w:val="0"/>
                <w:sz w:val="28"/>
                <w:szCs w:val="28"/>
              </w:rPr>
            </w:pPr>
          </w:p>
        </w:tc>
        <w:tc>
          <w:tcPr>
            <w:tcW w:w="9474" w:type="dxa"/>
            <w:tcBorders>
              <w:top w:val="single" w:color="auto" w:sz="4" w:space="0"/>
              <w:left w:val="nil"/>
              <w:bottom w:val="nil"/>
              <w:right w:val="single" w:color="auto" w:sz="8" w:space="0"/>
            </w:tcBorders>
            <w:shd w:val="clear" w:color="auto" w:fill="auto"/>
            <w:vAlign w:val="center"/>
          </w:tcPr>
          <w:p>
            <w:pPr>
              <w:widowControl/>
              <w:jc w:val="left"/>
              <w:rPr>
                <w:rFonts w:eastAsia="仿宋_GB2312"/>
                <w:color w:val="000000"/>
                <w:kern w:val="0"/>
                <w:sz w:val="28"/>
                <w:szCs w:val="28"/>
              </w:rPr>
            </w:pPr>
            <w:r>
              <w:rPr>
                <w:rFonts w:eastAsia="仿宋_GB2312"/>
                <w:color w:val="000000"/>
                <w:kern w:val="0"/>
                <w:sz w:val="28"/>
                <w:szCs w:val="28"/>
              </w:rPr>
              <w:t>电网推迟建设配套送出工程且不回购企业自建的送出工程（0分）。</w:t>
            </w:r>
          </w:p>
        </w:tc>
      </w:tr>
      <w:tr>
        <w:tblPrEx>
          <w:tblLayout w:type="fixed"/>
          <w:tblCellMar>
            <w:top w:w="0" w:type="dxa"/>
            <w:left w:w="108" w:type="dxa"/>
            <w:bottom w:w="0" w:type="dxa"/>
            <w:right w:w="108" w:type="dxa"/>
          </w:tblCellMar>
        </w:tblPrEx>
        <w:trPr>
          <w:trHeight w:val="825" w:hRule="atLeast"/>
        </w:trPr>
        <w:tc>
          <w:tcPr>
            <w:tcW w:w="1243"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000000"/>
                <w:kern w:val="0"/>
                <w:sz w:val="28"/>
                <w:szCs w:val="28"/>
              </w:rPr>
            </w:pPr>
          </w:p>
        </w:tc>
        <w:tc>
          <w:tcPr>
            <w:tcW w:w="1985"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eastAsia="仿宋_GB2312"/>
                <w:color w:val="000000"/>
                <w:kern w:val="0"/>
                <w:sz w:val="28"/>
                <w:szCs w:val="28"/>
              </w:rPr>
            </w:pPr>
            <w:r>
              <w:rPr>
                <w:rFonts w:eastAsia="仿宋_GB2312"/>
                <w:color w:val="000000"/>
                <w:kern w:val="0"/>
                <w:sz w:val="28"/>
                <w:szCs w:val="28"/>
              </w:rPr>
              <w:t>政府服务</w:t>
            </w:r>
          </w:p>
        </w:tc>
        <w:tc>
          <w:tcPr>
            <w:tcW w:w="95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color w:val="000000"/>
                <w:kern w:val="0"/>
                <w:sz w:val="28"/>
                <w:szCs w:val="28"/>
              </w:rPr>
            </w:pPr>
            <w:r>
              <w:rPr>
                <w:color w:val="000000"/>
                <w:kern w:val="0"/>
                <w:sz w:val="28"/>
                <w:szCs w:val="28"/>
              </w:rPr>
              <w:t>10</w:t>
            </w:r>
          </w:p>
        </w:tc>
        <w:tc>
          <w:tcPr>
            <w:tcW w:w="9474" w:type="dxa"/>
            <w:tcBorders>
              <w:top w:val="single" w:color="auto" w:sz="8" w:space="0"/>
              <w:left w:val="nil"/>
              <w:bottom w:val="nil"/>
              <w:right w:val="single" w:color="auto" w:sz="8" w:space="0"/>
            </w:tcBorders>
            <w:shd w:val="clear" w:color="auto" w:fill="auto"/>
            <w:vAlign w:val="center"/>
          </w:tcPr>
          <w:p>
            <w:pPr>
              <w:widowControl/>
              <w:jc w:val="left"/>
              <w:rPr>
                <w:rFonts w:eastAsia="仿宋_GB2312"/>
                <w:color w:val="000000"/>
                <w:kern w:val="0"/>
                <w:sz w:val="28"/>
                <w:szCs w:val="28"/>
              </w:rPr>
            </w:pPr>
            <w:r>
              <w:rPr>
                <w:rFonts w:eastAsia="仿宋_GB2312"/>
                <w:color w:val="000000"/>
                <w:kern w:val="0"/>
                <w:sz w:val="28"/>
                <w:szCs w:val="28"/>
              </w:rPr>
              <w:t>地方政府制定了光伏发电管理细则，提供一站式市场服务，无变相收费和摊派等增加企业负担行为（10分）；</w:t>
            </w:r>
          </w:p>
        </w:tc>
      </w:tr>
      <w:tr>
        <w:tblPrEx>
          <w:tblLayout w:type="fixed"/>
          <w:tblCellMar>
            <w:top w:w="0" w:type="dxa"/>
            <w:left w:w="108" w:type="dxa"/>
            <w:bottom w:w="0" w:type="dxa"/>
            <w:right w:w="108" w:type="dxa"/>
          </w:tblCellMar>
        </w:tblPrEx>
        <w:trPr>
          <w:trHeight w:val="390" w:hRule="atLeast"/>
        </w:trPr>
        <w:tc>
          <w:tcPr>
            <w:tcW w:w="1243"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000000"/>
                <w:kern w:val="0"/>
                <w:sz w:val="28"/>
                <w:szCs w:val="28"/>
              </w:rPr>
            </w:pPr>
          </w:p>
        </w:tc>
        <w:tc>
          <w:tcPr>
            <w:tcW w:w="1985"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000000"/>
                <w:kern w:val="0"/>
                <w:sz w:val="28"/>
                <w:szCs w:val="28"/>
              </w:rPr>
            </w:pPr>
          </w:p>
        </w:tc>
        <w:tc>
          <w:tcPr>
            <w:tcW w:w="950" w:type="dxa"/>
            <w:vMerge w:val="continue"/>
            <w:tcBorders>
              <w:top w:val="nil"/>
              <w:left w:val="single" w:color="auto" w:sz="8" w:space="0"/>
              <w:bottom w:val="single" w:color="000000" w:sz="8" w:space="0"/>
              <w:right w:val="single" w:color="auto" w:sz="8" w:space="0"/>
            </w:tcBorders>
            <w:vAlign w:val="center"/>
          </w:tcPr>
          <w:p>
            <w:pPr>
              <w:widowControl/>
              <w:jc w:val="left"/>
              <w:rPr>
                <w:color w:val="000000"/>
                <w:kern w:val="0"/>
                <w:sz w:val="28"/>
                <w:szCs w:val="28"/>
              </w:rPr>
            </w:pPr>
          </w:p>
        </w:tc>
        <w:tc>
          <w:tcPr>
            <w:tcW w:w="9474" w:type="dxa"/>
            <w:tcBorders>
              <w:top w:val="nil"/>
              <w:left w:val="nil"/>
              <w:bottom w:val="nil"/>
              <w:right w:val="single" w:color="auto" w:sz="8" w:space="0"/>
            </w:tcBorders>
            <w:shd w:val="clear" w:color="auto" w:fill="auto"/>
            <w:vAlign w:val="center"/>
          </w:tcPr>
          <w:p>
            <w:pPr>
              <w:widowControl/>
              <w:jc w:val="left"/>
              <w:rPr>
                <w:rFonts w:eastAsia="仿宋_GB2312"/>
                <w:color w:val="000000"/>
                <w:kern w:val="0"/>
                <w:sz w:val="28"/>
                <w:szCs w:val="28"/>
              </w:rPr>
            </w:pPr>
            <w:r>
              <w:rPr>
                <w:rFonts w:eastAsia="仿宋_GB2312"/>
                <w:color w:val="000000"/>
                <w:kern w:val="0"/>
                <w:sz w:val="28"/>
                <w:szCs w:val="28"/>
              </w:rPr>
              <w:t>政府服务未制定光伏发电管理细则，无变相收费或产业配套要求（5分）；</w:t>
            </w:r>
          </w:p>
        </w:tc>
      </w:tr>
      <w:tr>
        <w:tblPrEx>
          <w:tblLayout w:type="fixed"/>
          <w:tblCellMar>
            <w:top w:w="0" w:type="dxa"/>
            <w:left w:w="108" w:type="dxa"/>
            <w:bottom w:w="0" w:type="dxa"/>
            <w:right w:w="108" w:type="dxa"/>
          </w:tblCellMar>
        </w:tblPrEx>
        <w:trPr>
          <w:trHeight w:val="360" w:hRule="atLeast"/>
        </w:trPr>
        <w:tc>
          <w:tcPr>
            <w:tcW w:w="1243"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000000"/>
                <w:kern w:val="0"/>
                <w:sz w:val="28"/>
                <w:szCs w:val="28"/>
              </w:rPr>
            </w:pPr>
          </w:p>
        </w:tc>
        <w:tc>
          <w:tcPr>
            <w:tcW w:w="1985"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000000"/>
                <w:kern w:val="0"/>
                <w:sz w:val="28"/>
                <w:szCs w:val="28"/>
              </w:rPr>
            </w:pPr>
          </w:p>
        </w:tc>
        <w:tc>
          <w:tcPr>
            <w:tcW w:w="950" w:type="dxa"/>
            <w:vMerge w:val="continue"/>
            <w:tcBorders>
              <w:top w:val="nil"/>
              <w:left w:val="single" w:color="auto" w:sz="8" w:space="0"/>
              <w:bottom w:val="single" w:color="000000" w:sz="8" w:space="0"/>
              <w:right w:val="single" w:color="auto" w:sz="8" w:space="0"/>
            </w:tcBorders>
            <w:vAlign w:val="center"/>
          </w:tcPr>
          <w:p>
            <w:pPr>
              <w:widowControl/>
              <w:jc w:val="left"/>
              <w:rPr>
                <w:color w:val="000000"/>
                <w:kern w:val="0"/>
                <w:sz w:val="28"/>
                <w:szCs w:val="28"/>
              </w:rPr>
            </w:pPr>
          </w:p>
        </w:tc>
        <w:tc>
          <w:tcPr>
            <w:tcW w:w="9474" w:type="dxa"/>
            <w:tcBorders>
              <w:top w:val="nil"/>
              <w:left w:val="nil"/>
              <w:bottom w:val="single" w:color="auto" w:sz="8" w:space="0"/>
              <w:right w:val="single" w:color="auto" w:sz="8" w:space="0"/>
            </w:tcBorders>
            <w:shd w:val="clear" w:color="auto" w:fill="auto"/>
            <w:vAlign w:val="center"/>
          </w:tcPr>
          <w:p>
            <w:pPr>
              <w:widowControl/>
              <w:jc w:val="left"/>
              <w:rPr>
                <w:rFonts w:eastAsia="仿宋_GB2312"/>
                <w:color w:val="000000"/>
                <w:kern w:val="0"/>
                <w:sz w:val="28"/>
                <w:szCs w:val="28"/>
              </w:rPr>
            </w:pPr>
            <w:r>
              <w:rPr>
                <w:rFonts w:eastAsia="仿宋_GB2312"/>
                <w:color w:val="000000"/>
                <w:kern w:val="0"/>
                <w:sz w:val="28"/>
                <w:szCs w:val="28"/>
              </w:rPr>
              <w:t>地方有变相收费和摊派等增加企业负担行为（-5分）。</w:t>
            </w:r>
          </w:p>
        </w:tc>
      </w:tr>
      <w:tr>
        <w:tblPrEx>
          <w:tblLayout w:type="fixed"/>
          <w:tblCellMar>
            <w:top w:w="0" w:type="dxa"/>
            <w:left w:w="108" w:type="dxa"/>
            <w:bottom w:w="0" w:type="dxa"/>
            <w:right w:w="108" w:type="dxa"/>
          </w:tblCellMar>
        </w:tblPrEx>
        <w:trPr>
          <w:trHeight w:val="375" w:hRule="atLeast"/>
        </w:trPr>
        <w:tc>
          <w:tcPr>
            <w:tcW w:w="1243"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000000"/>
                <w:kern w:val="0"/>
                <w:sz w:val="28"/>
                <w:szCs w:val="28"/>
              </w:rPr>
            </w:pPr>
          </w:p>
        </w:tc>
        <w:tc>
          <w:tcPr>
            <w:tcW w:w="1985"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eastAsia="仿宋_GB2312"/>
                <w:color w:val="000000"/>
                <w:kern w:val="0"/>
                <w:sz w:val="28"/>
                <w:szCs w:val="28"/>
              </w:rPr>
            </w:pPr>
            <w:r>
              <w:rPr>
                <w:rFonts w:eastAsia="仿宋_GB2312"/>
                <w:color w:val="000000"/>
                <w:kern w:val="0"/>
                <w:sz w:val="28"/>
                <w:szCs w:val="28"/>
              </w:rPr>
              <w:t>国家度电补贴强度</w:t>
            </w:r>
          </w:p>
        </w:tc>
        <w:tc>
          <w:tcPr>
            <w:tcW w:w="95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color w:val="000000"/>
                <w:kern w:val="0"/>
                <w:sz w:val="28"/>
                <w:szCs w:val="28"/>
              </w:rPr>
            </w:pPr>
            <w:r>
              <w:rPr>
                <w:color w:val="000000"/>
                <w:kern w:val="0"/>
                <w:sz w:val="28"/>
                <w:szCs w:val="28"/>
              </w:rPr>
              <w:t>10</w:t>
            </w:r>
          </w:p>
        </w:tc>
        <w:tc>
          <w:tcPr>
            <w:tcW w:w="9474" w:type="dxa"/>
            <w:tcBorders>
              <w:top w:val="nil"/>
              <w:left w:val="nil"/>
              <w:bottom w:val="nil"/>
              <w:right w:val="single" w:color="auto" w:sz="8" w:space="0"/>
            </w:tcBorders>
            <w:shd w:val="clear" w:color="auto" w:fill="auto"/>
            <w:vAlign w:val="center"/>
          </w:tcPr>
          <w:p>
            <w:pPr>
              <w:widowControl/>
              <w:jc w:val="left"/>
              <w:rPr>
                <w:rFonts w:eastAsia="仿宋_GB2312"/>
                <w:color w:val="000000"/>
                <w:kern w:val="0"/>
                <w:sz w:val="28"/>
                <w:szCs w:val="28"/>
              </w:rPr>
            </w:pPr>
            <w:r>
              <w:rPr>
                <w:rFonts w:eastAsia="仿宋_GB2312"/>
                <w:color w:val="000000"/>
                <w:kern w:val="0"/>
                <w:sz w:val="28"/>
                <w:szCs w:val="28"/>
              </w:rPr>
              <w:t>按照上年度新建电站度电补贴强度进行评分：</w:t>
            </w:r>
          </w:p>
        </w:tc>
      </w:tr>
      <w:tr>
        <w:tblPrEx>
          <w:tblLayout w:type="fixed"/>
          <w:tblCellMar>
            <w:top w:w="0" w:type="dxa"/>
            <w:left w:w="108" w:type="dxa"/>
            <w:bottom w:w="0" w:type="dxa"/>
            <w:right w:w="108" w:type="dxa"/>
          </w:tblCellMar>
        </w:tblPrEx>
        <w:trPr>
          <w:trHeight w:val="390" w:hRule="atLeast"/>
        </w:trPr>
        <w:tc>
          <w:tcPr>
            <w:tcW w:w="1243"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000000"/>
                <w:kern w:val="0"/>
                <w:sz w:val="28"/>
                <w:szCs w:val="28"/>
              </w:rPr>
            </w:pPr>
          </w:p>
        </w:tc>
        <w:tc>
          <w:tcPr>
            <w:tcW w:w="1985"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000000"/>
                <w:kern w:val="0"/>
                <w:sz w:val="28"/>
                <w:szCs w:val="28"/>
              </w:rPr>
            </w:pPr>
          </w:p>
        </w:tc>
        <w:tc>
          <w:tcPr>
            <w:tcW w:w="950" w:type="dxa"/>
            <w:vMerge w:val="continue"/>
            <w:tcBorders>
              <w:top w:val="nil"/>
              <w:left w:val="single" w:color="auto" w:sz="8" w:space="0"/>
              <w:bottom w:val="single" w:color="000000" w:sz="8" w:space="0"/>
              <w:right w:val="single" w:color="auto" w:sz="8" w:space="0"/>
            </w:tcBorders>
            <w:vAlign w:val="center"/>
          </w:tcPr>
          <w:p>
            <w:pPr>
              <w:widowControl/>
              <w:jc w:val="left"/>
              <w:rPr>
                <w:color w:val="000000"/>
                <w:kern w:val="0"/>
                <w:sz w:val="28"/>
                <w:szCs w:val="28"/>
              </w:rPr>
            </w:pPr>
          </w:p>
        </w:tc>
        <w:tc>
          <w:tcPr>
            <w:tcW w:w="9474" w:type="dxa"/>
            <w:tcBorders>
              <w:top w:val="nil"/>
              <w:left w:val="nil"/>
              <w:bottom w:val="nil"/>
              <w:right w:val="single" w:color="auto" w:sz="8" w:space="0"/>
            </w:tcBorders>
            <w:shd w:val="clear" w:color="auto" w:fill="auto"/>
            <w:vAlign w:val="center"/>
          </w:tcPr>
          <w:p>
            <w:pPr>
              <w:widowControl/>
              <w:jc w:val="left"/>
              <w:rPr>
                <w:rFonts w:eastAsia="仿宋_GB2312"/>
                <w:color w:val="000000"/>
                <w:kern w:val="0"/>
                <w:sz w:val="28"/>
                <w:szCs w:val="28"/>
              </w:rPr>
            </w:pPr>
            <w:r>
              <w:rPr>
                <w:rFonts w:eastAsia="仿宋_GB2312"/>
                <w:color w:val="000000"/>
                <w:kern w:val="0"/>
                <w:sz w:val="28"/>
                <w:szCs w:val="28"/>
              </w:rPr>
              <w:t>小于等于0.35元/kWh（10分）；</w:t>
            </w:r>
          </w:p>
        </w:tc>
      </w:tr>
      <w:tr>
        <w:tblPrEx>
          <w:tblLayout w:type="fixed"/>
          <w:tblCellMar>
            <w:top w:w="0" w:type="dxa"/>
            <w:left w:w="108" w:type="dxa"/>
            <w:bottom w:w="0" w:type="dxa"/>
            <w:right w:w="108" w:type="dxa"/>
          </w:tblCellMar>
        </w:tblPrEx>
        <w:trPr>
          <w:trHeight w:val="360" w:hRule="atLeast"/>
        </w:trPr>
        <w:tc>
          <w:tcPr>
            <w:tcW w:w="1243"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000000"/>
                <w:kern w:val="0"/>
                <w:sz w:val="28"/>
                <w:szCs w:val="28"/>
              </w:rPr>
            </w:pPr>
          </w:p>
        </w:tc>
        <w:tc>
          <w:tcPr>
            <w:tcW w:w="1985"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000000"/>
                <w:kern w:val="0"/>
                <w:sz w:val="28"/>
                <w:szCs w:val="28"/>
              </w:rPr>
            </w:pPr>
          </w:p>
        </w:tc>
        <w:tc>
          <w:tcPr>
            <w:tcW w:w="950" w:type="dxa"/>
            <w:vMerge w:val="continue"/>
            <w:tcBorders>
              <w:top w:val="nil"/>
              <w:left w:val="single" w:color="auto" w:sz="8" w:space="0"/>
              <w:bottom w:val="single" w:color="000000" w:sz="8" w:space="0"/>
              <w:right w:val="single" w:color="auto" w:sz="8" w:space="0"/>
            </w:tcBorders>
            <w:vAlign w:val="center"/>
          </w:tcPr>
          <w:p>
            <w:pPr>
              <w:widowControl/>
              <w:jc w:val="left"/>
              <w:rPr>
                <w:color w:val="000000"/>
                <w:kern w:val="0"/>
                <w:sz w:val="28"/>
                <w:szCs w:val="28"/>
              </w:rPr>
            </w:pPr>
          </w:p>
        </w:tc>
        <w:tc>
          <w:tcPr>
            <w:tcW w:w="9474" w:type="dxa"/>
            <w:tcBorders>
              <w:top w:val="nil"/>
              <w:left w:val="nil"/>
              <w:bottom w:val="nil"/>
              <w:right w:val="single" w:color="auto" w:sz="8" w:space="0"/>
            </w:tcBorders>
            <w:shd w:val="clear" w:color="auto" w:fill="auto"/>
            <w:vAlign w:val="center"/>
          </w:tcPr>
          <w:p>
            <w:pPr>
              <w:widowControl/>
              <w:jc w:val="left"/>
              <w:rPr>
                <w:color w:val="000000"/>
                <w:kern w:val="0"/>
                <w:sz w:val="28"/>
                <w:szCs w:val="28"/>
              </w:rPr>
            </w:pPr>
            <w:r>
              <w:rPr>
                <w:color w:val="000000"/>
                <w:kern w:val="0"/>
                <w:sz w:val="28"/>
                <w:szCs w:val="28"/>
              </w:rPr>
              <w:t>0.36-0.40</w:t>
            </w:r>
            <w:r>
              <w:rPr>
                <w:rFonts w:eastAsia="仿宋_GB2312"/>
                <w:color w:val="000000"/>
                <w:kern w:val="0"/>
                <w:sz w:val="28"/>
                <w:szCs w:val="28"/>
              </w:rPr>
              <w:t>元</w:t>
            </w:r>
            <w:r>
              <w:rPr>
                <w:color w:val="000000"/>
                <w:kern w:val="0"/>
                <w:sz w:val="28"/>
                <w:szCs w:val="28"/>
              </w:rPr>
              <w:t>/kWh</w:t>
            </w:r>
            <w:r>
              <w:rPr>
                <w:rFonts w:eastAsia="仿宋_GB2312"/>
                <w:color w:val="000000"/>
                <w:kern w:val="0"/>
                <w:sz w:val="28"/>
                <w:szCs w:val="28"/>
              </w:rPr>
              <w:t>（</w:t>
            </w:r>
            <w:r>
              <w:rPr>
                <w:color w:val="000000"/>
                <w:kern w:val="0"/>
                <w:sz w:val="28"/>
                <w:szCs w:val="28"/>
              </w:rPr>
              <w:t>6</w:t>
            </w:r>
            <w:r>
              <w:rPr>
                <w:rFonts w:eastAsia="仿宋_GB2312"/>
                <w:color w:val="000000"/>
                <w:kern w:val="0"/>
                <w:sz w:val="28"/>
                <w:szCs w:val="28"/>
              </w:rPr>
              <w:t>分）；</w:t>
            </w:r>
          </w:p>
        </w:tc>
      </w:tr>
      <w:tr>
        <w:tblPrEx>
          <w:tblLayout w:type="fixed"/>
          <w:tblCellMar>
            <w:top w:w="0" w:type="dxa"/>
            <w:left w:w="108" w:type="dxa"/>
            <w:bottom w:w="0" w:type="dxa"/>
            <w:right w:w="108" w:type="dxa"/>
          </w:tblCellMar>
        </w:tblPrEx>
        <w:trPr>
          <w:trHeight w:val="360" w:hRule="atLeast"/>
        </w:trPr>
        <w:tc>
          <w:tcPr>
            <w:tcW w:w="1243"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000000"/>
                <w:kern w:val="0"/>
                <w:sz w:val="28"/>
                <w:szCs w:val="28"/>
              </w:rPr>
            </w:pPr>
          </w:p>
        </w:tc>
        <w:tc>
          <w:tcPr>
            <w:tcW w:w="1985"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000000"/>
                <w:kern w:val="0"/>
                <w:sz w:val="28"/>
                <w:szCs w:val="28"/>
              </w:rPr>
            </w:pPr>
          </w:p>
        </w:tc>
        <w:tc>
          <w:tcPr>
            <w:tcW w:w="950" w:type="dxa"/>
            <w:vMerge w:val="continue"/>
            <w:tcBorders>
              <w:top w:val="nil"/>
              <w:left w:val="single" w:color="auto" w:sz="8" w:space="0"/>
              <w:bottom w:val="single" w:color="000000" w:sz="8" w:space="0"/>
              <w:right w:val="single" w:color="auto" w:sz="8" w:space="0"/>
            </w:tcBorders>
            <w:vAlign w:val="center"/>
          </w:tcPr>
          <w:p>
            <w:pPr>
              <w:widowControl/>
              <w:jc w:val="left"/>
              <w:rPr>
                <w:color w:val="000000"/>
                <w:kern w:val="0"/>
                <w:sz w:val="28"/>
                <w:szCs w:val="28"/>
              </w:rPr>
            </w:pPr>
          </w:p>
        </w:tc>
        <w:tc>
          <w:tcPr>
            <w:tcW w:w="9474" w:type="dxa"/>
            <w:tcBorders>
              <w:top w:val="nil"/>
              <w:left w:val="nil"/>
              <w:bottom w:val="nil"/>
              <w:right w:val="single" w:color="auto" w:sz="8" w:space="0"/>
            </w:tcBorders>
            <w:shd w:val="clear" w:color="auto" w:fill="auto"/>
            <w:vAlign w:val="center"/>
          </w:tcPr>
          <w:p>
            <w:pPr>
              <w:widowControl/>
              <w:jc w:val="left"/>
              <w:rPr>
                <w:color w:val="000000"/>
                <w:kern w:val="0"/>
                <w:sz w:val="28"/>
                <w:szCs w:val="28"/>
              </w:rPr>
            </w:pPr>
            <w:r>
              <w:rPr>
                <w:color w:val="000000"/>
                <w:kern w:val="0"/>
                <w:sz w:val="28"/>
                <w:szCs w:val="28"/>
              </w:rPr>
              <w:t>0.41-0.45</w:t>
            </w:r>
            <w:r>
              <w:rPr>
                <w:rFonts w:eastAsia="仿宋_GB2312"/>
                <w:color w:val="000000"/>
                <w:kern w:val="0"/>
                <w:sz w:val="28"/>
                <w:szCs w:val="28"/>
              </w:rPr>
              <w:t>元</w:t>
            </w:r>
            <w:r>
              <w:rPr>
                <w:color w:val="000000"/>
                <w:kern w:val="0"/>
                <w:sz w:val="28"/>
                <w:szCs w:val="28"/>
              </w:rPr>
              <w:t>/kWh</w:t>
            </w:r>
            <w:r>
              <w:rPr>
                <w:rFonts w:eastAsia="仿宋_GB2312"/>
                <w:color w:val="000000"/>
                <w:kern w:val="0"/>
                <w:sz w:val="28"/>
                <w:szCs w:val="28"/>
              </w:rPr>
              <w:t>（</w:t>
            </w:r>
            <w:r>
              <w:rPr>
                <w:color w:val="000000"/>
                <w:kern w:val="0"/>
                <w:sz w:val="28"/>
                <w:szCs w:val="28"/>
              </w:rPr>
              <w:t>3</w:t>
            </w:r>
            <w:r>
              <w:rPr>
                <w:rFonts w:eastAsia="仿宋_GB2312"/>
                <w:color w:val="000000"/>
                <w:kern w:val="0"/>
                <w:sz w:val="28"/>
                <w:szCs w:val="28"/>
              </w:rPr>
              <w:t>分）；</w:t>
            </w:r>
          </w:p>
        </w:tc>
      </w:tr>
      <w:tr>
        <w:tblPrEx>
          <w:tblLayout w:type="fixed"/>
          <w:tblCellMar>
            <w:top w:w="0" w:type="dxa"/>
            <w:left w:w="108" w:type="dxa"/>
            <w:bottom w:w="0" w:type="dxa"/>
            <w:right w:w="108" w:type="dxa"/>
          </w:tblCellMar>
        </w:tblPrEx>
        <w:trPr>
          <w:trHeight w:val="360" w:hRule="atLeast"/>
        </w:trPr>
        <w:tc>
          <w:tcPr>
            <w:tcW w:w="1243"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000000"/>
                <w:kern w:val="0"/>
                <w:sz w:val="28"/>
                <w:szCs w:val="28"/>
              </w:rPr>
            </w:pPr>
          </w:p>
        </w:tc>
        <w:tc>
          <w:tcPr>
            <w:tcW w:w="1985"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000000"/>
                <w:kern w:val="0"/>
                <w:sz w:val="28"/>
                <w:szCs w:val="28"/>
              </w:rPr>
            </w:pPr>
          </w:p>
        </w:tc>
        <w:tc>
          <w:tcPr>
            <w:tcW w:w="950" w:type="dxa"/>
            <w:vMerge w:val="continue"/>
            <w:tcBorders>
              <w:top w:val="nil"/>
              <w:left w:val="single" w:color="auto" w:sz="8" w:space="0"/>
              <w:bottom w:val="single" w:color="000000" w:sz="8" w:space="0"/>
              <w:right w:val="single" w:color="auto" w:sz="8" w:space="0"/>
            </w:tcBorders>
            <w:vAlign w:val="center"/>
          </w:tcPr>
          <w:p>
            <w:pPr>
              <w:widowControl/>
              <w:jc w:val="left"/>
              <w:rPr>
                <w:color w:val="000000"/>
                <w:kern w:val="0"/>
                <w:sz w:val="28"/>
                <w:szCs w:val="28"/>
              </w:rPr>
            </w:pPr>
          </w:p>
        </w:tc>
        <w:tc>
          <w:tcPr>
            <w:tcW w:w="9474" w:type="dxa"/>
            <w:tcBorders>
              <w:top w:val="nil"/>
              <w:left w:val="nil"/>
              <w:bottom w:val="nil"/>
              <w:right w:val="single" w:color="auto" w:sz="8" w:space="0"/>
            </w:tcBorders>
            <w:shd w:val="clear" w:color="auto" w:fill="auto"/>
            <w:vAlign w:val="center"/>
          </w:tcPr>
          <w:p>
            <w:pPr>
              <w:widowControl/>
              <w:jc w:val="left"/>
              <w:rPr>
                <w:rFonts w:eastAsia="仿宋_GB2312"/>
                <w:color w:val="000000"/>
                <w:kern w:val="0"/>
                <w:sz w:val="28"/>
                <w:szCs w:val="28"/>
              </w:rPr>
            </w:pPr>
            <w:r>
              <w:rPr>
                <w:rFonts w:eastAsia="仿宋_GB2312"/>
                <w:color w:val="000000"/>
                <w:kern w:val="0"/>
                <w:sz w:val="28"/>
                <w:szCs w:val="28"/>
              </w:rPr>
              <w:t>大于0.45元/kWh（0分）。</w:t>
            </w:r>
          </w:p>
          <w:p>
            <w:pPr>
              <w:widowControl/>
              <w:jc w:val="left"/>
              <w:rPr>
                <w:rFonts w:eastAsia="仿宋_GB2312"/>
                <w:color w:val="000000"/>
                <w:kern w:val="0"/>
                <w:sz w:val="28"/>
                <w:szCs w:val="28"/>
              </w:rPr>
            </w:pPr>
            <w:r>
              <w:rPr>
                <w:rFonts w:eastAsia="仿宋_GB2312"/>
                <w:color w:val="000000"/>
                <w:kern w:val="0"/>
                <w:sz w:val="28"/>
                <w:szCs w:val="28"/>
              </w:rPr>
              <w:t>按照后续新建工程电价下降幅度对评分区间进行调整。</w:t>
            </w:r>
          </w:p>
        </w:tc>
      </w:tr>
      <w:tr>
        <w:tblPrEx>
          <w:tblLayout w:type="fixed"/>
          <w:tblCellMar>
            <w:top w:w="0" w:type="dxa"/>
            <w:left w:w="108" w:type="dxa"/>
            <w:bottom w:w="0" w:type="dxa"/>
            <w:right w:w="108" w:type="dxa"/>
          </w:tblCellMar>
        </w:tblPrEx>
        <w:trPr>
          <w:trHeight w:val="360" w:hRule="atLeast"/>
        </w:trPr>
        <w:tc>
          <w:tcPr>
            <w:tcW w:w="1243"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000000"/>
                <w:kern w:val="0"/>
                <w:sz w:val="28"/>
                <w:szCs w:val="28"/>
              </w:rPr>
            </w:pPr>
          </w:p>
        </w:tc>
        <w:tc>
          <w:tcPr>
            <w:tcW w:w="1985"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eastAsia="仿宋_GB2312"/>
                <w:color w:val="000000"/>
                <w:kern w:val="0"/>
                <w:sz w:val="28"/>
                <w:szCs w:val="28"/>
              </w:rPr>
            </w:pPr>
            <w:r>
              <w:rPr>
                <w:rFonts w:eastAsia="仿宋_GB2312"/>
                <w:color w:val="000000"/>
                <w:kern w:val="0"/>
                <w:sz w:val="28"/>
                <w:szCs w:val="28"/>
              </w:rPr>
              <w:t>竞争性配置项目补贴平均降幅</w:t>
            </w:r>
          </w:p>
        </w:tc>
        <w:tc>
          <w:tcPr>
            <w:tcW w:w="95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color w:val="000000"/>
                <w:kern w:val="0"/>
                <w:sz w:val="28"/>
                <w:szCs w:val="28"/>
              </w:rPr>
            </w:pPr>
            <w:r>
              <w:rPr>
                <w:color w:val="000000"/>
                <w:kern w:val="0"/>
                <w:sz w:val="28"/>
                <w:szCs w:val="28"/>
              </w:rPr>
              <w:t>5</w:t>
            </w:r>
          </w:p>
        </w:tc>
        <w:tc>
          <w:tcPr>
            <w:tcW w:w="9474" w:type="dxa"/>
            <w:tcBorders>
              <w:top w:val="single" w:color="auto" w:sz="8" w:space="0"/>
              <w:left w:val="nil"/>
              <w:bottom w:val="single" w:color="auto" w:sz="4" w:space="0"/>
              <w:right w:val="single" w:color="auto" w:sz="8" w:space="0"/>
            </w:tcBorders>
            <w:shd w:val="clear" w:color="auto" w:fill="auto"/>
            <w:vAlign w:val="center"/>
          </w:tcPr>
          <w:p>
            <w:pPr>
              <w:widowControl/>
              <w:jc w:val="left"/>
              <w:rPr>
                <w:rFonts w:eastAsia="仿宋_GB2312"/>
                <w:color w:val="000000"/>
                <w:kern w:val="0"/>
                <w:sz w:val="28"/>
                <w:szCs w:val="28"/>
              </w:rPr>
            </w:pPr>
            <w:r>
              <w:rPr>
                <w:rFonts w:eastAsia="仿宋_GB2312"/>
                <w:color w:val="000000"/>
                <w:kern w:val="0"/>
                <w:sz w:val="28"/>
                <w:szCs w:val="28"/>
              </w:rPr>
              <w:t>按照当年度竞争性配置电站平均电价与当地光伏发电标杆上网电价之差进行评分：</w:t>
            </w:r>
          </w:p>
        </w:tc>
      </w:tr>
      <w:tr>
        <w:tblPrEx>
          <w:tblLayout w:type="fixed"/>
          <w:tblCellMar>
            <w:top w:w="0" w:type="dxa"/>
            <w:left w:w="108" w:type="dxa"/>
            <w:bottom w:w="0" w:type="dxa"/>
            <w:right w:w="108" w:type="dxa"/>
          </w:tblCellMar>
        </w:tblPrEx>
        <w:trPr>
          <w:trHeight w:val="390" w:hRule="atLeast"/>
        </w:trPr>
        <w:tc>
          <w:tcPr>
            <w:tcW w:w="1243"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000000"/>
                <w:kern w:val="0"/>
                <w:sz w:val="28"/>
                <w:szCs w:val="28"/>
              </w:rPr>
            </w:pPr>
          </w:p>
        </w:tc>
        <w:tc>
          <w:tcPr>
            <w:tcW w:w="1985"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000000"/>
                <w:kern w:val="0"/>
                <w:sz w:val="28"/>
                <w:szCs w:val="28"/>
              </w:rPr>
            </w:pPr>
          </w:p>
        </w:tc>
        <w:tc>
          <w:tcPr>
            <w:tcW w:w="950" w:type="dxa"/>
            <w:vMerge w:val="continue"/>
            <w:tcBorders>
              <w:top w:val="nil"/>
              <w:left w:val="single" w:color="auto" w:sz="8" w:space="0"/>
              <w:bottom w:val="single" w:color="000000" w:sz="8" w:space="0"/>
              <w:right w:val="single" w:color="auto" w:sz="8" w:space="0"/>
            </w:tcBorders>
            <w:vAlign w:val="center"/>
          </w:tcPr>
          <w:p>
            <w:pPr>
              <w:widowControl/>
              <w:jc w:val="left"/>
              <w:rPr>
                <w:color w:val="000000"/>
                <w:kern w:val="0"/>
                <w:sz w:val="28"/>
                <w:szCs w:val="28"/>
              </w:rPr>
            </w:pPr>
          </w:p>
        </w:tc>
        <w:tc>
          <w:tcPr>
            <w:tcW w:w="9474" w:type="dxa"/>
            <w:tcBorders>
              <w:top w:val="single" w:color="auto" w:sz="4" w:space="0"/>
              <w:left w:val="nil"/>
              <w:bottom w:val="nil"/>
              <w:right w:val="single" w:color="auto" w:sz="8" w:space="0"/>
            </w:tcBorders>
            <w:shd w:val="clear" w:color="auto" w:fill="auto"/>
            <w:vAlign w:val="center"/>
          </w:tcPr>
          <w:p>
            <w:pPr>
              <w:widowControl/>
              <w:jc w:val="left"/>
              <w:rPr>
                <w:rFonts w:eastAsia="仿宋_GB2312"/>
                <w:color w:val="000000"/>
                <w:kern w:val="0"/>
                <w:sz w:val="28"/>
                <w:szCs w:val="28"/>
              </w:rPr>
            </w:pPr>
            <w:r>
              <w:rPr>
                <w:rFonts w:eastAsia="仿宋_GB2312"/>
                <w:color w:val="000000"/>
                <w:kern w:val="0"/>
                <w:sz w:val="28"/>
                <w:szCs w:val="28"/>
              </w:rPr>
              <w:t>降幅大于0.05元/kWh（含0.05）（5分）；</w:t>
            </w:r>
          </w:p>
        </w:tc>
      </w:tr>
      <w:tr>
        <w:tblPrEx>
          <w:tblLayout w:type="fixed"/>
          <w:tblCellMar>
            <w:top w:w="0" w:type="dxa"/>
            <w:left w:w="108" w:type="dxa"/>
            <w:bottom w:w="0" w:type="dxa"/>
            <w:right w:w="108" w:type="dxa"/>
          </w:tblCellMar>
        </w:tblPrEx>
        <w:trPr>
          <w:trHeight w:val="390" w:hRule="atLeast"/>
        </w:trPr>
        <w:tc>
          <w:tcPr>
            <w:tcW w:w="1243"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000000"/>
                <w:kern w:val="0"/>
                <w:sz w:val="28"/>
                <w:szCs w:val="28"/>
              </w:rPr>
            </w:pPr>
          </w:p>
        </w:tc>
        <w:tc>
          <w:tcPr>
            <w:tcW w:w="1985"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000000"/>
                <w:kern w:val="0"/>
                <w:sz w:val="28"/>
                <w:szCs w:val="28"/>
              </w:rPr>
            </w:pPr>
          </w:p>
        </w:tc>
        <w:tc>
          <w:tcPr>
            <w:tcW w:w="950" w:type="dxa"/>
            <w:vMerge w:val="continue"/>
            <w:tcBorders>
              <w:top w:val="nil"/>
              <w:left w:val="single" w:color="auto" w:sz="8" w:space="0"/>
              <w:bottom w:val="single" w:color="000000" w:sz="8" w:space="0"/>
              <w:right w:val="single" w:color="auto" w:sz="8" w:space="0"/>
            </w:tcBorders>
            <w:vAlign w:val="center"/>
          </w:tcPr>
          <w:p>
            <w:pPr>
              <w:widowControl/>
              <w:jc w:val="left"/>
              <w:rPr>
                <w:color w:val="000000"/>
                <w:kern w:val="0"/>
                <w:sz w:val="28"/>
                <w:szCs w:val="28"/>
              </w:rPr>
            </w:pPr>
          </w:p>
        </w:tc>
        <w:tc>
          <w:tcPr>
            <w:tcW w:w="9474" w:type="dxa"/>
            <w:tcBorders>
              <w:top w:val="nil"/>
              <w:left w:val="nil"/>
              <w:bottom w:val="nil"/>
              <w:right w:val="single" w:color="auto" w:sz="8" w:space="0"/>
            </w:tcBorders>
            <w:shd w:val="clear" w:color="auto" w:fill="auto"/>
            <w:vAlign w:val="center"/>
          </w:tcPr>
          <w:p>
            <w:pPr>
              <w:widowControl/>
              <w:jc w:val="left"/>
              <w:rPr>
                <w:rFonts w:eastAsia="仿宋_GB2312"/>
                <w:color w:val="000000"/>
                <w:kern w:val="0"/>
                <w:sz w:val="28"/>
                <w:szCs w:val="28"/>
              </w:rPr>
            </w:pPr>
            <w:r>
              <w:rPr>
                <w:rFonts w:eastAsia="仿宋_GB2312"/>
                <w:color w:val="000000"/>
                <w:kern w:val="0"/>
                <w:sz w:val="28"/>
                <w:szCs w:val="28"/>
              </w:rPr>
              <w:t>降幅0.03-0.05元/kWh（含0.03）（4分）；</w:t>
            </w:r>
          </w:p>
        </w:tc>
      </w:tr>
      <w:tr>
        <w:tblPrEx>
          <w:tblLayout w:type="fixed"/>
          <w:tblCellMar>
            <w:top w:w="0" w:type="dxa"/>
            <w:left w:w="108" w:type="dxa"/>
            <w:bottom w:w="0" w:type="dxa"/>
            <w:right w:w="108" w:type="dxa"/>
          </w:tblCellMar>
        </w:tblPrEx>
        <w:trPr>
          <w:trHeight w:val="390" w:hRule="atLeast"/>
        </w:trPr>
        <w:tc>
          <w:tcPr>
            <w:tcW w:w="1243"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000000"/>
                <w:kern w:val="0"/>
                <w:sz w:val="28"/>
                <w:szCs w:val="28"/>
              </w:rPr>
            </w:pPr>
          </w:p>
        </w:tc>
        <w:tc>
          <w:tcPr>
            <w:tcW w:w="1985"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000000"/>
                <w:kern w:val="0"/>
                <w:sz w:val="28"/>
                <w:szCs w:val="28"/>
              </w:rPr>
            </w:pPr>
          </w:p>
        </w:tc>
        <w:tc>
          <w:tcPr>
            <w:tcW w:w="950" w:type="dxa"/>
            <w:vMerge w:val="continue"/>
            <w:tcBorders>
              <w:top w:val="nil"/>
              <w:left w:val="single" w:color="auto" w:sz="8" w:space="0"/>
              <w:bottom w:val="single" w:color="000000" w:sz="8" w:space="0"/>
              <w:right w:val="single" w:color="auto" w:sz="8" w:space="0"/>
            </w:tcBorders>
            <w:vAlign w:val="center"/>
          </w:tcPr>
          <w:p>
            <w:pPr>
              <w:widowControl/>
              <w:jc w:val="left"/>
              <w:rPr>
                <w:color w:val="000000"/>
                <w:kern w:val="0"/>
                <w:sz w:val="28"/>
                <w:szCs w:val="28"/>
              </w:rPr>
            </w:pPr>
          </w:p>
        </w:tc>
        <w:tc>
          <w:tcPr>
            <w:tcW w:w="9474" w:type="dxa"/>
            <w:tcBorders>
              <w:top w:val="nil"/>
              <w:left w:val="nil"/>
              <w:bottom w:val="nil"/>
              <w:right w:val="single" w:color="auto" w:sz="8" w:space="0"/>
            </w:tcBorders>
            <w:shd w:val="clear" w:color="auto" w:fill="auto"/>
            <w:vAlign w:val="center"/>
          </w:tcPr>
          <w:p>
            <w:pPr>
              <w:widowControl/>
              <w:jc w:val="left"/>
              <w:rPr>
                <w:rFonts w:eastAsia="仿宋_GB2312"/>
                <w:color w:val="000000"/>
                <w:kern w:val="0"/>
                <w:sz w:val="28"/>
                <w:szCs w:val="28"/>
              </w:rPr>
            </w:pPr>
            <w:r>
              <w:rPr>
                <w:rFonts w:eastAsia="仿宋_GB2312"/>
                <w:color w:val="000000"/>
                <w:kern w:val="0"/>
                <w:sz w:val="28"/>
                <w:szCs w:val="28"/>
              </w:rPr>
              <w:t>降幅0.01-0.03元/kWh（含0.01）（2分）；</w:t>
            </w:r>
          </w:p>
        </w:tc>
      </w:tr>
      <w:tr>
        <w:tblPrEx>
          <w:tblLayout w:type="fixed"/>
          <w:tblCellMar>
            <w:top w:w="0" w:type="dxa"/>
            <w:left w:w="108" w:type="dxa"/>
            <w:bottom w:w="0" w:type="dxa"/>
            <w:right w:w="108" w:type="dxa"/>
          </w:tblCellMar>
        </w:tblPrEx>
        <w:trPr>
          <w:trHeight w:val="390" w:hRule="atLeast"/>
        </w:trPr>
        <w:tc>
          <w:tcPr>
            <w:tcW w:w="1243"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000000"/>
                <w:kern w:val="0"/>
                <w:sz w:val="28"/>
                <w:szCs w:val="28"/>
              </w:rPr>
            </w:pPr>
          </w:p>
        </w:tc>
        <w:tc>
          <w:tcPr>
            <w:tcW w:w="1985"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000000"/>
                <w:kern w:val="0"/>
                <w:sz w:val="28"/>
                <w:szCs w:val="28"/>
              </w:rPr>
            </w:pPr>
          </w:p>
        </w:tc>
        <w:tc>
          <w:tcPr>
            <w:tcW w:w="950" w:type="dxa"/>
            <w:vMerge w:val="continue"/>
            <w:tcBorders>
              <w:top w:val="nil"/>
              <w:left w:val="single" w:color="auto" w:sz="8" w:space="0"/>
              <w:bottom w:val="single" w:color="000000" w:sz="8" w:space="0"/>
              <w:right w:val="single" w:color="auto" w:sz="8" w:space="0"/>
            </w:tcBorders>
            <w:vAlign w:val="center"/>
          </w:tcPr>
          <w:p>
            <w:pPr>
              <w:widowControl/>
              <w:jc w:val="left"/>
              <w:rPr>
                <w:color w:val="000000"/>
                <w:kern w:val="0"/>
                <w:sz w:val="28"/>
                <w:szCs w:val="28"/>
              </w:rPr>
            </w:pPr>
          </w:p>
        </w:tc>
        <w:tc>
          <w:tcPr>
            <w:tcW w:w="9474" w:type="dxa"/>
            <w:tcBorders>
              <w:top w:val="nil"/>
              <w:left w:val="nil"/>
              <w:bottom w:val="single" w:color="auto" w:sz="8" w:space="0"/>
              <w:right w:val="single" w:color="auto" w:sz="8" w:space="0"/>
            </w:tcBorders>
            <w:shd w:val="clear" w:color="auto" w:fill="auto"/>
            <w:vAlign w:val="center"/>
          </w:tcPr>
          <w:p>
            <w:pPr>
              <w:widowControl/>
              <w:jc w:val="left"/>
              <w:rPr>
                <w:rFonts w:eastAsia="仿宋_GB2312"/>
                <w:color w:val="000000"/>
                <w:kern w:val="0"/>
                <w:sz w:val="28"/>
                <w:szCs w:val="28"/>
              </w:rPr>
            </w:pPr>
            <w:r>
              <w:rPr>
                <w:rFonts w:eastAsia="仿宋_GB2312"/>
                <w:color w:val="000000"/>
                <w:kern w:val="0"/>
                <w:sz w:val="28"/>
                <w:szCs w:val="28"/>
              </w:rPr>
              <w:t>降幅小于0.01元/kWh（0分）。</w:t>
            </w:r>
          </w:p>
        </w:tc>
      </w:tr>
      <w:tr>
        <w:tblPrEx>
          <w:tblLayout w:type="fixed"/>
          <w:tblCellMar>
            <w:top w:w="0" w:type="dxa"/>
            <w:left w:w="108" w:type="dxa"/>
            <w:bottom w:w="0" w:type="dxa"/>
            <w:right w:w="108" w:type="dxa"/>
          </w:tblCellMar>
        </w:tblPrEx>
        <w:trPr>
          <w:trHeight w:val="390" w:hRule="atLeast"/>
        </w:trPr>
        <w:tc>
          <w:tcPr>
            <w:tcW w:w="1243"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000000"/>
                <w:kern w:val="0"/>
                <w:sz w:val="28"/>
                <w:szCs w:val="28"/>
              </w:rPr>
            </w:pPr>
          </w:p>
        </w:tc>
        <w:tc>
          <w:tcPr>
            <w:tcW w:w="1985"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eastAsia="仿宋_GB2312"/>
                <w:color w:val="000000"/>
                <w:kern w:val="0"/>
                <w:sz w:val="28"/>
                <w:szCs w:val="28"/>
              </w:rPr>
            </w:pPr>
            <w:r>
              <w:rPr>
                <w:rFonts w:eastAsia="仿宋_GB2312"/>
                <w:color w:val="000000"/>
                <w:kern w:val="0"/>
                <w:sz w:val="28"/>
                <w:szCs w:val="28"/>
              </w:rPr>
              <w:t>地方政府补贴力度</w:t>
            </w:r>
          </w:p>
        </w:tc>
        <w:tc>
          <w:tcPr>
            <w:tcW w:w="950" w:type="dxa"/>
            <w:vMerge w:val="restart"/>
            <w:tcBorders>
              <w:top w:val="nil"/>
              <w:left w:val="single" w:color="auto" w:sz="8" w:space="0"/>
              <w:bottom w:val="single" w:color="000000" w:sz="8" w:space="0"/>
              <w:right w:val="nil"/>
            </w:tcBorders>
            <w:shd w:val="clear" w:color="auto" w:fill="auto"/>
            <w:vAlign w:val="center"/>
          </w:tcPr>
          <w:p>
            <w:pPr>
              <w:widowControl/>
              <w:jc w:val="center"/>
              <w:rPr>
                <w:color w:val="000000"/>
                <w:kern w:val="0"/>
                <w:sz w:val="28"/>
                <w:szCs w:val="28"/>
              </w:rPr>
            </w:pPr>
            <w:r>
              <w:rPr>
                <w:color w:val="000000"/>
                <w:kern w:val="0"/>
                <w:sz w:val="28"/>
                <w:szCs w:val="28"/>
              </w:rPr>
              <w:t>10</w:t>
            </w:r>
          </w:p>
        </w:tc>
        <w:tc>
          <w:tcPr>
            <w:tcW w:w="9474" w:type="dxa"/>
            <w:tcBorders>
              <w:top w:val="nil"/>
              <w:left w:val="single" w:color="auto" w:sz="8" w:space="0"/>
              <w:bottom w:val="nil"/>
              <w:right w:val="single" w:color="auto" w:sz="8" w:space="0"/>
            </w:tcBorders>
            <w:shd w:val="clear" w:color="auto" w:fill="auto"/>
            <w:vAlign w:val="center"/>
          </w:tcPr>
          <w:p>
            <w:pPr>
              <w:widowControl/>
              <w:jc w:val="left"/>
              <w:rPr>
                <w:rFonts w:eastAsia="仿宋_GB2312"/>
                <w:color w:val="000000"/>
                <w:kern w:val="0"/>
                <w:sz w:val="28"/>
                <w:szCs w:val="28"/>
              </w:rPr>
            </w:pPr>
            <w:r>
              <w:rPr>
                <w:rFonts w:eastAsia="仿宋_GB2312"/>
                <w:color w:val="000000"/>
                <w:kern w:val="0"/>
                <w:sz w:val="28"/>
                <w:szCs w:val="28"/>
              </w:rPr>
              <w:t>按补贴区域数量之和进行评分，市县级补贴按数量比例折算分值，满分为10分：</w:t>
            </w:r>
          </w:p>
        </w:tc>
      </w:tr>
      <w:tr>
        <w:tblPrEx>
          <w:tblLayout w:type="fixed"/>
          <w:tblCellMar>
            <w:top w:w="0" w:type="dxa"/>
            <w:left w:w="108" w:type="dxa"/>
            <w:bottom w:w="0" w:type="dxa"/>
            <w:right w:w="108" w:type="dxa"/>
          </w:tblCellMar>
        </w:tblPrEx>
        <w:trPr>
          <w:trHeight w:val="435" w:hRule="atLeast"/>
        </w:trPr>
        <w:tc>
          <w:tcPr>
            <w:tcW w:w="1243"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000000"/>
                <w:kern w:val="0"/>
                <w:sz w:val="28"/>
                <w:szCs w:val="28"/>
              </w:rPr>
            </w:pPr>
          </w:p>
        </w:tc>
        <w:tc>
          <w:tcPr>
            <w:tcW w:w="1985"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000000"/>
                <w:kern w:val="0"/>
                <w:sz w:val="28"/>
                <w:szCs w:val="28"/>
              </w:rPr>
            </w:pPr>
          </w:p>
        </w:tc>
        <w:tc>
          <w:tcPr>
            <w:tcW w:w="950" w:type="dxa"/>
            <w:vMerge w:val="continue"/>
            <w:tcBorders>
              <w:top w:val="nil"/>
              <w:left w:val="single" w:color="auto" w:sz="8" w:space="0"/>
              <w:bottom w:val="single" w:color="000000" w:sz="8" w:space="0"/>
              <w:right w:val="nil"/>
            </w:tcBorders>
            <w:vAlign w:val="center"/>
          </w:tcPr>
          <w:p>
            <w:pPr>
              <w:widowControl/>
              <w:jc w:val="left"/>
              <w:rPr>
                <w:color w:val="000000"/>
                <w:kern w:val="0"/>
                <w:sz w:val="28"/>
                <w:szCs w:val="28"/>
              </w:rPr>
            </w:pPr>
          </w:p>
        </w:tc>
        <w:tc>
          <w:tcPr>
            <w:tcW w:w="9474" w:type="dxa"/>
            <w:tcBorders>
              <w:top w:val="nil"/>
              <w:left w:val="single" w:color="auto" w:sz="8" w:space="0"/>
              <w:bottom w:val="nil"/>
              <w:right w:val="single" w:color="auto" w:sz="8" w:space="0"/>
            </w:tcBorders>
            <w:shd w:val="clear" w:color="auto" w:fill="auto"/>
            <w:vAlign w:val="center"/>
          </w:tcPr>
          <w:p>
            <w:pPr>
              <w:widowControl/>
              <w:jc w:val="left"/>
              <w:rPr>
                <w:rFonts w:eastAsia="仿宋_GB2312"/>
                <w:color w:val="000000"/>
                <w:kern w:val="0"/>
                <w:sz w:val="28"/>
                <w:szCs w:val="28"/>
              </w:rPr>
            </w:pPr>
            <w:r>
              <w:rPr>
                <w:rFonts w:eastAsia="仿宋_GB2312"/>
                <w:color w:val="000000"/>
                <w:kern w:val="0"/>
                <w:sz w:val="28"/>
                <w:szCs w:val="28"/>
              </w:rPr>
              <w:t>省级补贴+6分；</w:t>
            </w:r>
          </w:p>
        </w:tc>
      </w:tr>
      <w:tr>
        <w:tblPrEx>
          <w:tblLayout w:type="fixed"/>
          <w:tblCellMar>
            <w:top w:w="0" w:type="dxa"/>
            <w:left w:w="108" w:type="dxa"/>
            <w:bottom w:w="0" w:type="dxa"/>
            <w:right w:w="108" w:type="dxa"/>
          </w:tblCellMar>
        </w:tblPrEx>
        <w:trPr>
          <w:trHeight w:val="435" w:hRule="atLeast"/>
        </w:trPr>
        <w:tc>
          <w:tcPr>
            <w:tcW w:w="1243"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000000"/>
                <w:kern w:val="0"/>
                <w:sz w:val="28"/>
                <w:szCs w:val="28"/>
              </w:rPr>
            </w:pPr>
          </w:p>
        </w:tc>
        <w:tc>
          <w:tcPr>
            <w:tcW w:w="1985"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000000"/>
                <w:kern w:val="0"/>
                <w:sz w:val="28"/>
                <w:szCs w:val="28"/>
              </w:rPr>
            </w:pPr>
          </w:p>
        </w:tc>
        <w:tc>
          <w:tcPr>
            <w:tcW w:w="950" w:type="dxa"/>
            <w:vMerge w:val="continue"/>
            <w:tcBorders>
              <w:top w:val="nil"/>
              <w:left w:val="single" w:color="auto" w:sz="8" w:space="0"/>
              <w:bottom w:val="single" w:color="000000" w:sz="8" w:space="0"/>
              <w:right w:val="nil"/>
            </w:tcBorders>
            <w:vAlign w:val="center"/>
          </w:tcPr>
          <w:p>
            <w:pPr>
              <w:widowControl/>
              <w:jc w:val="left"/>
              <w:rPr>
                <w:color w:val="000000"/>
                <w:kern w:val="0"/>
                <w:sz w:val="28"/>
                <w:szCs w:val="28"/>
              </w:rPr>
            </w:pPr>
          </w:p>
        </w:tc>
        <w:tc>
          <w:tcPr>
            <w:tcW w:w="9474" w:type="dxa"/>
            <w:tcBorders>
              <w:top w:val="nil"/>
              <w:left w:val="single" w:color="auto" w:sz="8" w:space="0"/>
              <w:bottom w:val="nil"/>
              <w:right w:val="single" w:color="auto" w:sz="8" w:space="0"/>
            </w:tcBorders>
            <w:shd w:val="clear" w:color="auto" w:fill="auto"/>
            <w:vAlign w:val="center"/>
          </w:tcPr>
          <w:p>
            <w:pPr>
              <w:widowControl/>
              <w:jc w:val="left"/>
              <w:rPr>
                <w:rFonts w:eastAsia="仿宋_GB2312"/>
                <w:color w:val="000000"/>
                <w:kern w:val="0"/>
                <w:sz w:val="28"/>
                <w:szCs w:val="28"/>
              </w:rPr>
            </w:pPr>
            <w:r>
              <w:rPr>
                <w:rFonts w:eastAsia="仿宋_GB2312"/>
                <w:color w:val="000000"/>
                <w:kern w:val="0"/>
                <w:sz w:val="28"/>
                <w:szCs w:val="28"/>
              </w:rPr>
              <w:t>市级补贴+2分；</w:t>
            </w:r>
          </w:p>
        </w:tc>
      </w:tr>
      <w:tr>
        <w:tblPrEx>
          <w:tblLayout w:type="fixed"/>
          <w:tblCellMar>
            <w:top w:w="0" w:type="dxa"/>
            <w:left w:w="108" w:type="dxa"/>
            <w:bottom w:w="0" w:type="dxa"/>
            <w:right w:w="108" w:type="dxa"/>
          </w:tblCellMar>
        </w:tblPrEx>
        <w:trPr>
          <w:trHeight w:val="435" w:hRule="atLeast"/>
        </w:trPr>
        <w:tc>
          <w:tcPr>
            <w:tcW w:w="1243"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000000"/>
                <w:kern w:val="0"/>
                <w:sz w:val="28"/>
                <w:szCs w:val="28"/>
              </w:rPr>
            </w:pPr>
          </w:p>
        </w:tc>
        <w:tc>
          <w:tcPr>
            <w:tcW w:w="1985"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000000"/>
                <w:kern w:val="0"/>
                <w:sz w:val="28"/>
                <w:szCs w:val="28"/>
              </w:rPr>
            </w:pPr>
          </w:p>
        </w:tc>
        <w:tc>
          <w:tcPr>
            <w:tcW w:w="950" w:type="dxa"/>
            <w:vMerge w:val="continue"/>
            <w:tcBorders>
              <w:top w:val="nil"/>
              <w:left w:val="single" w:color="auto" w:sz="8" w:space="0"/>
              <w:bottom w:val="single" w:color="000000" w:sz="8" w:space="0"/>
              <w:right w:val="nil"/>
            </w:tcBorders>
            <w:vAlign w:val="center"/>
          </w:tcPr>
          <w:p>
            <w:pPr>
              <w:widowControl/>
              <w:jc w:val="left"/>
              <w:rPr>
                <w:color w:val="000000"/>
                <w:kern w:val="0"/>
                <w:sz w:val="28"/>
                <w:szCs w:val="28"/>
              </w:rPr>
            </w:pPr>
          </w:p>
        </w:tc>
        <w:tc>
          <w:tcPr>
            <w:tcW w:w="9474"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eastAsia="仿宋_GB2312"/>
                <w:color w:val="000000"/>
                <w:kern w:val="0"/>
                <w:sz w:val="28"/>
                <w:szCs w:val="28"/>
              </w:rPr>
            </w:pPr>
            <w:r>
              <w:rPr>
                <w:rFonts w:eastAsia="仿宋_GB2312"/>
                <w:color w:val="000000"/>
                <w:kern w:val="0"/>
                <w:sz w:val="28"/>
                <w:szCs w:val="28"/>
              </w:rPr>
              <w:t>县级补贴+1分；</w:t>
            </w:r>
          </w:p>
        </w:tc>
      </w:tr>
    </w:tbl>
    <w:p>
      <w:pPr>
        <w:spacing w:beforeLines="50" w:afterLines="50" w:line="360" w:lineRule="auto"/>
        <w:jc w:val="left"/>
        <w:outlineLvl w:val="0"/>
        <w:rPr>
          <w:rFonts w:eastAsia="黑体"/>
          <w:sz w:val="32"/>
          <w:szCs w:val="32"/>
        </w:rPr>
      </w:pPr>
    </w:p>
    <w:p>
      <w:pPr>
        <w:spacing w:beforeLines="50" w:afterLines="50" w:line="360" w:lineRule="auto"/>
        <w:jc w:val="left"/>
        <w:outlineLvl w:val="0"/>
        <w:rPr>
          <w:rFonts w:eastAsia="黑体"/>
          <w:sz w:val="32"/>
          <w:szCs w:val="32"/>
        </w:rPr>
      </w:pPr>
    </w:p>
    <w:p>
      <w:pPr>
        <w:spacing w:beforeLines="50" w:afterLines="50"/>
        <w:jc w:val="left"/>
        <w:rPr>
          <w:rFonts w:eastAsia="仿宋_GB2312"/>
          <w:b/>
          <w:sz w:val="32"/>
          <w:szCs w:val="32"/>
        </w:rPr>
        <w:sectPr>
          <w:pgSz w:w="16838" w:h="11906" w:orient="landscape"/>
          <w:pgMar w:top="1616" w:right="1928" w:bottom="1616" w:left="1474" w:header="851" w:footer="992" w:gutter="0"/>
          <w:cols w:space="425" w:num="1"/>
          <w:docGrid w:type="lines" w:linePitch="312"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华文仿宋">
    <w:altName w:val="仿宋"/>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1778661"/>
    </w:sdtPr>
    <w:sdtContent>
      <w:p>
        <w:pPr>
          <w:pStyle w:val="2"/>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10099A"/>
    <w:rsid w:val="3B1009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2017-08-25T01:43:00Z</dcterms:created>
  <dc:creator>user</dc:creator>
  <cp:lastModifiedBy>user</cp:lastModifiedBy>
  <dcterms:modified xsi:type="dcterms:W3CDTF">2017-08-25T01:44:30Z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