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eastAsia="仿宋_GB2312"/>
          <w:sz w:val="32"/>
          <w:szCs w:val="32"/>
        </w:rPr>
      </w:pPr>
      <w:r>
        <w:rPr>
          <w:rFonts w:eastAsia="仿宋_GB2312"/>
          <w:sz w:val="32"/>
          <w:szCs w:val="32"/>
        </w:rPr>
        <w:t>附件</w:t>
      </w:r>
      <w:r>
        <w:rPr>
          <w:rFonts w:hint="eastAsia" w:eastAsia="仿宋_GB2312"/>
          <w:sz w:val="32"/>
          <w:szCs w:val="32"/>
        </w:rPr>
        <w:t>1：</w:t>
      </w:r>
    </w:p>
    <w:p>
      <w:pPr>
        <w:jc w:val="center"/>
        <w:outlineLvl w:val="0"/>
        <w:rPr>
          <w:rFonts w:eastAsia="仿宋_GB2312"/>
          <w:b/>
          <w:sz w:val="32"/>
          <w:szCs w:val="32"/>
        </w:rPr>
      </w:pPr>
    </w:p>
    <w:p>
      <w:pPr>
        <w:jc w:val="center"/>
        <w:outlineLvl w:val="0"/>
        <w:rPr>
          <w:rFonts w:eastAsia="华文中宋"/>
          <w:sz w:val="36"/>
          <w:szCs w:val="36"/>
        </w:rPr>
      </w:pPr>
      <w:bookmarkStart w:id="0" w:name="_GoBack"/>
      <w:r>
        <w:rPr>
          <w:rFonts w:hint="eastAsia" w:eastAsia="华文中宋"/>
          <w:sz w:val="36"/>
          <w:szCs w:val="36"/>
        </w:rPr>
        <w:t>光伏电站开发市场环境监测评价方法及评分标准</w:t>
      </w:r>
    </w:p>
    <w:bookmarkEnd w:id="0"/>
    <w:p>
      <w:pPr>
        <w:jc w:val="center"/>
        <w:outlineLvl w:val="0"/>
        <w:rPr>
          <w:rFonts w:eastAsia="仿宋_GB2312"/>
          <w:b/>
          <w:sz w:val="32"/>
          <w:szCs w:val="32"/>
        </w:rPr>
      </w:pPr>
    </w:p>
    <w:p>
      <w:pPr>
        <w:spacing w:beforeLines="50" w:afterLines="50" w:line="360" w:lineRule="auto"/>
        <w:ind w:firstLine="640" w:firstLineChars="200"/>
        <w:jc w:val="left"/>
        <w:outlineLvl w:val="0"/>
        <w:rPr>
          <w:rFonts w:eastAsia="黑体"/>
          <w:sz w:val="32"/>
          <w:szCs w:val="32"/>
        </w:rPr>
      </w:pPr>
      <w:r>
        <w:rPr>
          <w:rFonts w:eastAsia="黑体"/>
          <w:sz w:val="32"/>
          <w:szCs w:val="32"/>
        </w:rPr>
        <w:t>一、评价方法</w:t>
      </w:r>
    </w:p>
    <w:p>
      <w:pPr>
        <w:ind w:firstLine="640" w:firstLineChars="200"/>
        <w:jc w:val="left"/>
        <w:outlineLvl w:val="0"/>
        <w:rPr>
          <w:rFonts w:eastAsia="仿宋_GB2312"/>
          <w:sz w:val="32"/>
          <w:szCs w:val="32"/>
        </w:rPr>
      </w:pPr>
      <w:r>
        <w:rPr>
          <w:rFonts w:eastAsia="仿宋_GB2312"/>
          <w:sz w:val="32"/>
          <w:szCs w:val="32"/>
        </w:rPr>
        <w:t>（一）风险等级评价</w:t>
      </w:r>
    </w:p>
    <w:p>
      <w:pPr>
        <w:ind w:firstLine="640" w:firstLineChars="200"/>
        <w:jc w:val="left"/>
        <w:outlineLvl w:val="0"/>
        <w:rPr>
          <w:rFonts w:eastAsia="仿宋_GB2312"/>
          <w:sz w:val="32"/>
          <w:szCs w:val="32"/>
        </w:rPr>
      </w:pPr>
      <w:r>
        <w:rPr>
          <w:rFonts w:eastAsia="仿宋_GB2312"/>
          <w:sz w:val="32"/>
          <w:szCs w:val="32"/>
        </w:rPr>
        <w:t>每项评价指标分值之和即为风险等级评价结果。评价结果分为高、中、低三个等级（&lt;15、15-25、&gt;25分），分别对应高风险、中度风险、低风险三个等级。</w:t>
      </w:r>
    </w:p>
    <w:p>
      <w:pPr>
        <w:ind w:firstLine="640" w:firstLineChars="200"/>
        <w:jc w:val="left"/>
        <w:outlineLvl w:val="0"/>
        <w:rPr>
          <w:rFonts w:eastAsia="仿宋_GB2312"/>
          <w:sz w:val="32"/>
          <w:szCs w:val="32"/>
        </w:rPr>
      </w:pPr>
      <w:r>
        <w:rPr>
          <w:rFonts w:eastAsia="仿宋_GB2312"/>
          <w:sz w:val="32"/>
          <w:szCs w:val="32"/>
        </w:rPr>
        <w:t>（二）竞争力等级评价</w:t>
      </w:r>
    </w:p>
    <w:p>
      <w:pPr>
        <w:ind w:firstLine="640" w:firstLineChars="200"/>
        <w:jc w:val="left"/>
        <w:outlineLvl w:val="0"/>
        <w:rPr>
          <w:rFonts w:eastAsia="仿宋_GB2312"/>
          <w:sz w:val="32"/>
          <w:szCs w:val="32"/>
        </w:rPr>
      </w:pPr>
      <w:r>
        <w:rPr>
          <w:rFonts w:eastAsia="仿宋_GB2312"/>
          <w:sz w:val="32"/>
          <w:szCs w:val="32"/>
        </w:rPr>
        <w:t>每项评价指标分值之和即为竞争力评价结果。评价结果分为两个等级（&gt;45分、≤45分），分别对应竞争力较</w:t>
      </w:r>
      <w:r>
        <w:rPr>
          <w:rFonts w:hint="eastAsia" w:eastAsia="仿宋_GB2312"/>
          <w:sz w:val="32"/>
          <w:szCs w:val="32"/>
        </w:rPr>
        <w:t>强</w:t>
      </w:r>
      <w:r>
        <w:rPr>
          <w:rFonts w:eastAsia="仿宋_GB2312"/>
          <w:sz w:val="32"/>
          <w:szCs w:val="32"/>
        </w:rPr>
        <w:t>和竞争力较</w:t>
      </w:r>
      <w:r>
        <w:rPr>
          <w:rFonts w:hint="eastAsia" w:eastAsia="仿宋_GB2312"/>
          <w:sz w:val="32"/>
          <w:szCs w:val="32"/>
        </w:rPr>
        <w:t>弱</w:t>
      </w:r>
      <w:r>
        <w:rPr>
          <w:rFonts w:eastAsia="仿宋_GB2312"/>
          <w:sz w:val="32"/>
          <w:szCs w:val="32"/>
        </w:rPr>
        <w:t>两个等级。</w:t>
      </w:r>
    </w:p>
    <w:p>
      <w:pPr>
        <w:ind w:firstLine="640" w:firstLineChars="200"/>
        <w:jc w:val="left"/>
        <w:outlineLvl w:val="0"/>
        <w:rPr>
          <w:rFonts w:eastAsia="仿宋_GB2312"/>
          <w:sz w:val="32"/>
          <w:szCs w:val="32"/>
        </w:rPr>
      </w:pPr>
      <w:r>
        <w:rPr>
          <w:rFonts w:eastAsia="仿宋_GB2312"/>
          <w:sz w:val="32"/>
          <w:szCs w:val="32"/>
        </w:rPr>
        <w:t>（三）综合评价结果</w:t>
      </w:r>
    </w:p>
    <w:p>
      <w:pPr>
        <w:ind w:firstLine="640" w:firstLineChars="200"/>
        <w:jc w:val="left"/>
        <w:outlineLvl w:val="0"/>
        <w:rPr>
          <w:rFonts w:eastAsia="仿宋_GB2312"/>
          <w:sz w:val="32"/>
          <w:szCs w:val="32"/>
        </w:rPr>
      </w:pPr>
      <w:r>
        <w:rPr>
          <w:rFonts w:eastAsia="仿宋_GB2312"/>
          <w:sz w:val="32"/>
          <w:szCs w:val="32"/>
        </w:rPr>
        <w:t>竞争力等级评价结果为较</w:t>
      </w:r>
      <w:r>
        <w:rPr>
          <w:rFonts w:hint="eastAsia" w:eastAsia="仿宋_GB2312"/>
          <w:sz w:val="32"/>
          <w:szCs w:val="32"/>
        </w:rPr>
        <w:t>强</w:t>
      </w:r>
      <w:r>
        <w:rPr>
          <w:rFonts w:eastAsia="仿宋_GB2312"/>
          <w:sz w:val="32"/>
          <w:szCs w:val="32"/>
        </w:rPr>
        <w:t>竞争力、风险等级评价结果为低风险或者中度风险，</w:t>
      </w:r>
      <w:r>
        <w:rPr>
          <w:rFonts w:hint="eastAsia" w:eastAsia="仿宋_GB2312"/>
          <w:sz w:val="32"/>
          <w:szCs w:val="32"/>
        </w:rPr>
        <w:t>总体</w:t>
      </w:r>
      <w:r>
        <w:rPr>
          <w:rFonts w:eastAsia="仿宋_GB2312"/>
          <w:sz w:val="32"/>
          <w:szCs w:val="32"/>
        </w:rPr>
        <w:t>评价结果为绿色。</w:t>
      </w:r>
    </w:p>
    <w:p>
      <w:pPr>
        <w:ind w:firstLine="640" w:firstLineChars="200"/>
        <w:jc w:val="left"/>
        <w:outlineLvl w:val="0"/>
        <w:rPr>
          <w:rFonts w:eastAsia="仿宋_GB2312"/>
          <w:sz w:val="32"/>
          <w:szCs w:val="32"/>
        </w:rPr>
      </w:pPr>
      <w:r>
        <w:rPr>
          <w:rFonts w:eastAsia="仿宋_GB2312"/>
          <w:sz w:val="32"/>
          <w:szCs w:val="32"/>
        </w:rPr>
        <w:t>竞争力等级评价结果为较</w:t>
      </w:r>
      <w:r>
        <w:rPr>
          <w:rFonts w:hint="eastAsia" w:eastAsia="仿宋_GB2312"/>
          <w:sz w:val="32"/>
          <w:szCs w:val="32"/>
        </w:rPr>
        <w:t>强</w:t>
      </w:r>
      <w:r>
        <w:rPr>
          <w:rFonts w:eastAsia="仿宋_GB2312"/>
          <w:sz w:val="32"/>
          <w:szCs w:val="32"/>
        </w:rPr>
        <w:t>竞争力、风险等级评价结果为高风险，</w:t>
      </w:r>
      <w:r>
        <w:rPr>
          <w:rFonts w:hint="eastAsia" w:eastAsia="仿宋_GB2312"/>
          <w:sz w:val="32"/>
          <w:szCs w:val="32"/>
        </w:rPr>
        <w:t>总体</w:t>
      </w:r>
      <w:r>
        <w:rPr>
          <w:rFonts w:eastAsia="仿宋_GB2312"/>
          <w:sz w:val="32"/>
          <w:szCs w:val="32"/>
        </w:rPr>
        <w:t>评价结果为橙色。</w:t>
      </w:r>
    </w:p>
    <w:p>
      <w:pPr>
        <w:ind w:firstLine="640" w:firstLineChars="200"/>
        <w:jc w:val="left"/>
        <w:outlineLvl w:val="0"/>
        <w:rPr>
          <w:rFonts w:eastAsia="仿宋_GB2312"/>
          <w:sz w:val="32"/>
          <w:szCs w:val="32"/>
        </w:rPr>
      </w:pPr>
      <w:r>
        <w:rPr>
          <w:rFonts w:eastAsia="仿宋_GB2312"/>
          <w:sz w:val="32"/>
          <w:szCs w:val="32"/>
        </w:rPr>
        <w:t>竞争力等级评价结果为较</w:t>
      </w:r>
      <w:r>
        <w:rPr>
          <w:rFonts w:hint="eastAsia" w:eastAsia="仿宋_GB2312"/>
          <w:sz w:val="32"/>
          <w:szCs w:val="32"/>
        </w:rPr>
        <w:t>弱</w:t>
      </w:r>
      <w:r>
        <w:rPr>
          <w:rFonts w:eastAsia="仿宋_GB2312"/>
          <w:sz w:val="32"/>
          <w:szCs w:val="32"/>
        </w:rPr>
        <w:t>竞争力、风险等级评价结果为中度风险或者低风险，</w:t>
      </w:r>
      <w:r>
        <w:rPr>
          <w:rFonts w:hint="eastAsia" w:eastAsia="仿宋_GB2312"/>
          <w:sz w:val="32"/>
          <w:szCs w:val="32"/>
        </w:rPr>
        <w:t>总体</w:t>
      </w:r>
      <w:r>
        <w:rPr>
          <w:rFonts w:eastAsia="仿宋_GB2312"/>
          <w:sz w:val="32"/>
          <w:szCs w:val="32"/>
        </w:rPr>
        <w:t>评价结果为橙色。</w:t>
      </w:r>
    </w:p>
    <w:p>
      <w:pPr>
        <w:ind w:firstLine="640" w:firstLineChars="200"/>
        <w:jc w:val="left"/>
        <w:outlineLvl w:val="0"/>
        <w:rPr>
          <w:rFonts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eastAsia="仿宋_GB2312"/>
          <w:sz w:val="32"/>
          <w:szCs w:val="32"/>
        </w:rPr>
        <w:t>竞争力等级评价结果为较</w:t>
      </w:r>
      <w:r>
        <w:rPr>
          <w:rFonts w:hint="eastAsia" w:eastAsia="仿宋_GB2312"/>
          <w:sz w:val="32"/>
          <w:szCs w:val="32"/>
        </w:rPr>
        <w:t>弱</w:t>
      </w:r>
      <w:r>
        <w:rPr>
          <w:rFonts w:eastAsia="仿宋_GB2312"/>
          <w:sz w:val="32"/>
          <w:szCs w:val="32"/>
        </w:rPr>
        <w:t>竞争力、风险等级评价结果为高风险，</w:t>
      </w:r>
      <w:r>
        <w:rPr>
          <w:rFonts w:hint="eastAsia" w:eastAsia="仿宋_GB2312"/>
          <w:sz w:val="32"/>
          <w:szCs w:val="32"/>
        </w:rPr>
        <w:t>总体</w:t>
      </w:r>
      <w:r>
        <w:rPr>
          <w:rFonts w:eastAsia="仿宋_GB2312"/>
          <w:sz w:val="32"/>
          <w:szCs w:val="32"/>
        </w:rPr>
        <w:t>评价结果为红色。</w:t>
      </w:r>
    </w:p>
    <w:p>
      <w:pPr>
        <w:spacing w:beforeLines="50" w:afterLines="50" w:line="360" w:lineRule="auto"/>
        <w:ind w:firstLine="640" w:firstLineChars="200"/>
        <w:jc w:val="left"/>
        <w:outlineLvl w:val="0"/>
        <w:rPr>
          <w:rFonts w:eastAsia="黑体"/>
          <w:sz w:val="32"/>
          <w:szCs w:val="32"/>
        </w:rPr>
      </w:pPr>
      <w:r>
        <w:rPr>
          <w:rFonts w:eastAsia="黑体"/>
          <w:sz w:val="32"/>
          <w:szCs w:val="32"/>
        </w:rPr>
        <w:t>二、评分标准</w:t>
      </w:r>
    </w:p>
    <w:tbl>
      <w:tblPr>
        <w:tblStyle w:val="4"/>
        <w:tblW w:w="13652" w:type="dxa"/>
        <w:tblInd w:w="0" w:type="dxa"/>
        <w:tblLayout w:type="fixed"/>
        <w:tblCellMar>
          <w:top w:w="0" w:type="dxa"/>
          <w:left w:w="108" w:type="dxa"/>
          <w:bottom w:w="0" w:type="dxa"/>
          <w:right w:w="108" w:type="dxa"/>
        </w:tblCellMar>
      </w:tblPr>
      <w:tblGrid>
        <w:gridCol w:w="1243"/>
        <w:gridCol w:w="1985"/>
        <w:gridCol w:w="950"/>
        <w:gridCol w:w="9474"/>
      </w:tblGrid>
      <w:tr>
        <w:tblPrEx>
          <w:tblLayout w:type="fixed"/>
          <w:tblCellMar>
            <w:top w:w="0" w:type="dxa"/>
            <w:left w:w="108" w:type="dxa"/>
            <w:bottom w:w="0" w:type="dxa"/>
            <w:right w:w="108" w:type="dxa"/>
          </w:tblCellMar>
        </w:tblPrEx>
        <w:trPr>
          <w:trHeight w:val="390" w:hRule="atLeast"/>
          <w:tblHeader/>
        </w:trPr>
        <w:tc>
          <w:tcPr>
            <w:tcW w:w="1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eastAsia="仿宋_GB2312"/>
                <w:b/>
                <w:bCs/>
                <w:color w:val="000000"/>
                <w:kern w:val="0"/>
                <w:sz w:val="28"/>
                <w:szCs w:val="28"/>
              </w:rPr>
            </w:pPr>
            <w:r>
              <w:rPr>
                <w:rFonts w:eastAsia="仿宋_GB2312"/>
                <w:b/>
                <w:bCs/>
                <w:color w:val="000000"/>
                <w:kern w:val="0"/>
                <w:sz w:val="28"/>
                <w:szCs w:val="28"/>
              </w:rPr>
              <w:t>项目</w:t>
            </w:r>
          </w:p>
        </w:tc>
        <w:tc>
          <w:tcPr>
            <w:tcW w:w="198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b/>
                <w:bCs/>
                <w:color w:val="000000"/>
                <w:kern w:val="0"/>
                <w:sz w:val="28"/>
                <w:szCs w:val="28"/>
              </w:rPr>
            </w:pPr>
            <w:r>
              <w:rPr>
                <w:rFonts w:eastAsia="仿宋_GB2312"/>
                <w:b/>
                <w:bCs/>
                <w:color w:val="000000"/>
                <w:kern w:val="0"/>
                <w:sz w:val="28"/>
                <w:szCs w:val="28"/>
              </w:rPr>
              <w:t>内容</w:t>
            </w:r>
          </w:p>
        </w:tc>
        <w:tc>
          <w:tcPr>
            <w:tcW w:w="9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b/>
                <w:bCs/>
                <w:color w:val="000000"/>
                <w:kern w:val="0"/>
                <w:sz w:val="28"/>
                <w:szCs w:val="28"/>
              </w:rPr>
            </w:pPr>
            <w:r>
              <w:rPr>
                <w:rFonts w:eastAsia="仿宋_GB2312"/>
                <w:b/>
                <w:bCs/>
                <w:color w:val="000000"/>
                <w:kern w:val="0"/>
                <w:sz w:val="28"/>
                <w:szCs w:val="28"/>
              </w:rPr>
              <w:t>分值</w:t>
            </w:r>
          </w:p>
        </w:tc>
        <w:tc>
          <w:tcPr>
            <w:tcW w:w="947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b/>
                <w:bCs/>
                <w:color w:val="000000"/>
                <w:kern w:val="0"/>
                <w:sz w:val="28"/>
                <w:szCs w:val="28"/>
              </w:rPr>
            </w:pPr>
            <w:r>
              <w:rPr>
                <w:rFonts w:eastAsia="仿宋_GB2312"/>
                <w:b/>
                <w:bCs/>
                <w:color w:val="000000"/>
                <w:kern w:val="0"/>
                <w:sz w:val="28"/>
                <w:szCs w:val="28"/>
              </w:rPr>
              <w:t>评分标准</w:t>
            </w:r>
          </w:p>
        </w:tc>
      </w:tr>
      <w:tr>
        <w:tblPrEx>
          <w:tblLayout w:type="fixed"/>
          <w:tblCellMar>
            <w:top w:w="0" w:type="dxa"/>
            <w:left w:w="108" w:type="dxa"/>
            <w:bottom w:w="0" w:type="dxa"/>
            <w:right w:w="108" w:type="dxa"/>
          </w:tblCellMar>
        </w:tblPrEx>
        <w:trPr>
          <w:trHeight w:val="450" w:hRule="atLeast"/>
        </w:trPr>
        <w:tc>
          <w:tcPr>
            <w:tcW w:w="12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 w:val="28"/>
                <w:szCs w:val="28"/>
              </w:rPr>
            </w:pPr>
            <w:r>
              <w:rPr>
                <w:rFonts w:eastAsia="仿宋_GB2312"/>
                <w:color w:val="000000"/>
                <w:kern w:val="0"/>
                <w:sz w:val="28"/>
                <w:szCs w:val="28"/>
              </w:rPr>
              <w:t>风险类指标</w:t>
            </w: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 w:val="28"/>
                <w:szCs w:val="28"/>
              </w:rPr>
            </w:pPr>
            <w:r>
              <w:rPr>
                <w:rFonts w:eastAsia="仿宋_GB2312"/>
                <w:color w:val="000000"/>
                <w:kern w:val="0"/>
                <w:sz w:val="28"/>
                <w:szCs w:val="28"/>
              </w:rPr>
              <w:t>保障小时数完成程度</w:t>
            </w:r>
          </w:p>
        </w:tc>
        <w:tc>
          <w:tcPr>
            <w:tcW w:w="9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28"/>
                <w:szCs w:val="28"/>
              </w:rPr>
            </w:pPr>
            <w:r>
              <w:rPr>
                <w:color w:val="000000"/>
                <w:kern w:val="0"/>
                <w:sz w:val="28"/>
                <w:szCs w:val="28"/>
              </w:rPr>
              <w:t>25</w:t>
            </w: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按上年度保障小时数落实情况进行评分：</w:t>
            </w:r>
          </w:p>
        </w:tc>
      </w:tr>
      <w:tr>
        <w:tblPrEx>
          <w:tblLayout w:type="fixed"/>
          <w:tblCellMar>
            <w:top w:w="0" w:type="dxa"/>
            <w:left w:w="108" w:type="dxa"/>
            <w:bottom w:w="0" w:type="dxa"/>
            <w:right w:w="108" w:type="dxa"/>
          </w:tblCellMar>
        </w:tblPrEx>
        <w:trPr>
          <w:trHeight w:val="39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达到保障小时数地区或未核定保障小时数地区限电未超过5%（25）；</w:t>
            </w:r>
          </w:p>
        </w:tc>
      </w:tr>
      <w:tr>
        <w:tblPrEx>
          <w:tblLayout w:type="fixed"/>
          <w:tblCellMar>
            <w:top w:w="0" w:type="dxa"/>
            <w:left w:w="108" w:type="dxa"/>
            <w:bottom w:w="0" w:type="dxa"/>
            <w:right w:w="108" w:type="dxa"/>
          </w:tblCellMar>
        </w:tblPrEx>
        <w:trPr>
          <w:trHeight w:val="39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核定保障小时数地区实际年利用小时数低于保障小时数5%以内（15）；</w:t>
            </w:r>
          </w:p>
        </w:tc>
      </w:tr>
      <w:tr>
        <w:tblPrEx>
          <w:tblLayout w:type="fixed"/>
          <w:tblCellMar>
            <w:top w:w="0" w:type="dxa"/>
            <w:left w:w="108" w:type="dxa"/>
            <w:bottom w:w="0" w:type="dxa"/>
            <w:right w:w="108" w:type="dxa"/>
          </w:tblCellMar>
        </w:tblPrEx>
        <w:trPr>
          <w:trHeight w:val="405"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single" w:color="auto" w:sz="8" w:space="0"/>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低于保障小时数的95%，一票否决，直接定为红色。</w:t>
            </w:r>
          </w:p>
        </w:tc>
      </w:tr>
      <w:tr>
        <w:tblPrEx>
          <w:tblLayout w:type="fixed"/>
          <w:tblCellMar>
            <w:top w:w="0" w:type="dxa"/>
            <w:left w:w="108" w:type="dxa"/>
            <w:bottom w:w="0" w:type="dxa"/>
            <w:right w:w="108" w:type="dxa"/>
          </w:tblCellMar>
        </w:tblPrEx>
        <w:trPr>
          <w:trHeight w:val="375"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 w:val="28"/>
                <w:szCs w:val="28"/>
              </w:rPr>
            </w:pPr>
            <w:r>
              <w:rPr>
                <w:rFonts w:eastAsia="仿宋_GB2312"/>
                <w:color w:val="000000"/>
                <w:kern w:val="0"/>
                <w:sz w:val="28"/>
                <w:szCs w:val="28"/>
              </w:rPr>
              <w:t>市场消纳风险</w:t>
            </w:r>
          </w:p>
        </w:tc>
        <w:tc>
          <w:tcPr>
            <w:tcW w:w="9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28"/>
                <w:szCs w:val="28"/>
              </w:rPr>
            </w:pPr>
            <w:r>
              <w:rPr>
                <w:color w:val="000000"/>
                <w:kern w:val="0"/>
                <w:sz w:val="28"/>
                <w:szCs w:val="28"/>
              </w:rPr>
              <w:t>5</w:t>
            </w: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按上年度可再生能源</w:t>
            </w:r>
            <w:r>
              <w:rPr>
                <w:rFonts w:hint="eastAsia" w:eastAsia="仿宋_GB2312"/>
                <w:color w:val="000000"/>
                <w:kern w:val="0"/>
                <w:sz w:val="28"/>
                <w:szCs w:val="28"/>
              </w:rPr>
              <w:t>（水电、风电、光伏发电）</w:t>
            </w:r>
            <w:r>
              <w:rPr>
                <w:rFonts w:eastAsia="仿宋_GB2312"/>
                <w:color w:val="000000"/>
                <w:kern w:val="0"/>
                <w:sz w:val="28"/>
                <w:szCs w:val="28"/>
              </w:rPr>
              <w:t>限电情况进行评分：</w:t>
            </w:r>
          </w:p>
        </w:tc>
      </w:tr>
      <w:tr>
        <w:tblPrEx>
          <w:tblLayout w:type="fixed"/>
          <w:tblCellMar>
            <w:top w:w="0" w:type="dxa"/>
            <w:left w:w="108" w:type="dxa"/>
            <w:bottom w:w="0" w:type="dxa"/>
            <w:right w:w="108" w:type="dxa"/>
          </w:tblCellMar>
        </w:tblPrEx>
        <w:trPr>
          <w:trHeight w:val="375"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弃水率低于5%、弃风率低于10%</w:t>
            </w:r>
            <w:r>
              <w:rPr>
                <w:rFonts w:hint="eastAsia" w:eastAsia="仿宋_GB2312"/>
                <w:color w:val="000000"/>
                <w:kern w:val="0"/>
                <w:sz w:val="28"/>
                <w:szCs w:val="28"/>
              </w:rPr>
              <w:t>、</w:t>
            </w:r>
            <w:r>
              <w:rPr>
                <w:rFonts w:eastAsia="仿宋_GB2312"/>
                <w:color w:val="000000"/>
                <w:kern w:val="0"/>
                <w:sz w:val="28"/>
                <w:szCs w:val="28"/>
              </w:rPr>
              <w:t>且弃光率低于5%（5）；</w:t>
            </w:r>
          </w:p>
        </w:tc>
      </w:tr>
      <w:tr>
        <w:tblPrEx>
          <w:tblLayout w:type="fixed"/>
          <w:tblCellMar>
            <w:top w:w="0" w:type="dxa"/>
            <w:left w:w="108" w:type="dxa"/>
            <w:bottom w:w="0" w:type="dxa"/>
            <w:right w:w="108" w:type="dxa"/>
          </w:tblCellMar>
        </w:tblPrEx>
        <w:trPr>
          <w:trHeight w:val="39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single" w:color="auto" w:sz="8" w:space="0"/>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存在弃水率超过5%、弃风率超过10%、弃光率超过5%中的任意一种情况（-5）；</w:t>
            </w:r>
          </w:p>
        </w:tc>
      </w:tr>
      <w:tr>
        <w:tblPrEx>
          <w:tblLayout w:type="fixed"/>
          <w:tblCellMar>
            <w:top w:w="0" w:type="dxa"/>
            <w:left w:w="108" w:type="dxa"/>
            <w:bottom w:w="0" w:type="dxa"/>
            <w:right w:w="108" w:type="dxa"/>
          </w:tblCellMar>
        </w:tblPrEx>
        <w:trPr>
          <w:trHeight w:val="624"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 w:val="28"/>
                <w:szCs w:val="28"/>
              </w:rPr>
            </w:pPr>
            <w:r>
              <w:rPr>
                <w:rFonts w:eastAsia="仿宋_GB2312"/>
                <w:color w:val="000000"/>
                <w:kern w:val="0"/>
                <w:sz w:val="28"/>
                <w:szCs w:val="28"/>
              </w:rPr>
              <w:t>新能源参与电力交易程度</w:t>
            </w:r>
          </w:p>
        </w:tc>
        <w:tc>
          <w:tcPr>
            <w:tcW w:w="9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28"/>
                <w:szCs w:val="28"/>
              </w:rPr>
            </w:pPr>
            <w:r>
              <w:rPr>
                <w:color w:val="000000"/>
                <w:kern w:val="0"/>
                <w:sz w:val="28"/>
                <w:szCs w:val="28"/>
              </w:rPr>
              <w:t>5</w:t>
            </w:r>
          </w:p>
        </w:tc>
        <w:tc>
          <w:tcPr>
            <w:tcW w:w="947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全部可再生能源发电（不含水电）保障性收购；或地方政府出台政策，保障性小时数之内的电量不参与交易，之外的电量参与交易（5分）；</w:t>
            </w:r>
          </w:p>
        </w:tc>
      </w:tr>
      <w:tr>
        <w:tblPrEx>
          <w:tblLayout w:type="fixed"/>
          <w:tblCellMar>
            <w:top w:w="0" w:type="dxa"/>
            <w:left w:w="108" w:type="dxa"/>
            <w:bottom w:w="0" w:type="dxa"/>
            <w:right w:w="108" w:type="dxa"/>
          </w:tblCellMar>
        </w:tblPrEx>
        <w:trPr>
          <w:trHeight w:val="624"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eastAsia="仿宋_GB2312"/>
                <w:color w:val="000000"/>
                <w:kern w:val="0"/>
                <w:sz w:val="28"/>
                <w:szCs w:val="28"/>
              </w:rPr>
            </w:pPr>
          </w:p>
        </w:tc>
      </w:tr>
      <w:tr>
        <w:tblPrEx>
          <w:tblLayout w:type="fixed"/>
          <w:tblCellMar>
            <w:top w:w="0" w:type="dxa"/>
            <w:left w:w="108" w:type="dxa"/>
            <w:bottom w:w="0" w:type="dxa"/>
            <w:right w:w="108" w:type="dxa"/>
          </w:tblCellMar>
        </w:tblPrEx>
        <w:trPr>
          <w:trHeight w:val="75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single" w:color="auto" w:sz="4" w:space="0"/>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地方政府出台政策，保量保价收购小时数低于国家核定的保障性小时数，其余电量参与交易，保障比例不低于60%（-3分）；</w:t>
            </w:r>
          </w:p>
        </w:tc>
      </w:tr>
      <w:tr>
        <w:tblPrEx>
          <w:tblLayout w:type="fixed"/>
          <w:tblCellMar>
            <w:top w:w="0" w:type="dxa"/>
            <w:left w:w="108" w:type="dxa"/>
            <w:bottom w:w="0" w:type="dxa"/>
            <w:right w:w="108" w:type="dxa"/>
          </w:tblCellMar>
        </w:tblPrEx>
        <w:trPr>
          <w:trHeight w:val="78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single" w:color="auto" w:sz="8" w:space="0"/>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地方政府出台政策，要求全部可再生能源电量（不含水电）参与交易或保障比例低于60%（-5分）。</w:t>
            </w:r>
          </w:p>
        </w:tc>
      </w:tr>
      <w:tr>
        <w:tblPrEx>
          <w:tblLayout w:type="fixed"/>
          <w:tblCellMar>
            <w:top w:w="0" w:type="dxa"/>
            <w:left w:w="108" w:type="dxa"/>
            <w:bottom w:w="0" w:type="dxa"/>
            <w:right w:w="108" w:type="dxa"/>
          </w:tblCellMar>
        </w:tblPrEx>
        <w:trPr>
          <w:trHeight w:val="375" w:hRule="atLeast"/>
        </w:trPr>
        <w:tc>
          <w:tcPr>
            <w:tcW w:w="124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 w:val="28"/>
                <w:szCs w:val="28"/>
              </w:rPr>
            </w:pPr>
            <w:r>
              <w:rPr>
                <w:rFonts w:eastAsia="仿宋_GB2312"/>
                <w:color w:val="000000"/>
                <w:kern w:val="0"/>
                <w:sz w:val="28"/>
                <w:szCs w:val="28"/>
              </w:rPr>
              <w:t>竞争力指标</w:t>
            </w: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 w:val="28"/>
                <w:szCs w:val="28"/>
              </w:rPr>
            </w:pPr>
            <w:r>
              <w:rPr>
                <w:rFonts w:eastAsia="仿宋_GB2312"/>
                <w:color w:val="000000"/>
                <w:kern w:val="0"/>
                <w:sz w:val="28"/>
                <w:szCs w:val="28"/>
              </w:rPr>
              <w:t>土地类型及成本</w:t>
            </w:r>
          </w:p>
        </w:tc>
        <w:tc>
          <w:tcPr>
            <w:tcW w:w="9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28"/>
                <w:szCs w:val="28"/>
              </w:rPr>
            </w:pPr>
            <w:r>
              <w:rPr>
                <w:color w:val="000000"/>
                <w:kern w:val="0"/>
                <w:sz w:val="28"/>
                <w:szCs w:val="28"/>
              </w:rPr>
              <w:t>20</w:t>
            </w: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按照上年度调查的光伏电站土地使用成本及税费评分：</w:t>
            </w:r>
          </w:p>
        </w:tc>
      </w:tr>
      <w:tr>
        <w:tblPrEx>
          <w:tblLayout w:type="fixed"/>
          <w:tblCellMar>
            <w:top w:w="0" w:type="dxa"/>
            <w:left w:w="108" w:type="dxa"/>
            <w:bottom w:w="0" w:type="dxa"/>
            <w:right w:w="108" w:type="dxa"/>
          </w:tblCellMar>
        </w:tblPrEx>
        <w:trPr>
          <w:trHeight w:val="495"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土地租金每亩低于300元，不征收城镇土地使用税，不属于征收耕地占用税的农用地（20分）；</w:t>
            </w:r>
          </w:p>
        </w:tc>
      </w:tr>
      <w:tr>
        <w:tblPrEx>
          <w:tblLayout w:type="fixed"/>
          <w:tblCellMar>
            <w:top w:w="0" w:type="dxa"/>
            <w:left w:w="108" w:type="dxa"/>
            <w:bottom w:w="0" w:type="dxa"/>
            <w:right w:w="108" w:type="dxa"/>
          </w:tblCellMar>
        </w:tblPrEx>
        <w:trPr>
          <w:trHeight w:val="36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土地租金每亩高于300元，不征收城镇土地使用税（10分）；</w:t>
            </w:r>
          </w:p>
        </w:tc>
      </w:tr>
      <w:tr>
        <w:tblPrEx>
          <w:tblLayout w:type="fixed"/>
          <w:tblCellMar>
            <w:top w:w="0" w:type="dxa"/>
            <w:left w:w="108" w:type="dxa"/>
            <w:bottom w:w="0" w:type="dxa"/>
            <w:right w:w="108" w:type="dxa"/>
          </w:tblCellMar>
        </w:tblPrEx>
        <w:trPr>
          <w:trHeight w:val="36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single" w:color="auto" w:sz="8" w:space="0"/>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征收城镇土地使用税，按全部面积征收耕地占用税（0分）。</w:t>
            </w:r>
          </w:p>
        </w:tc>
      </w:tr>
      <w:tr>
        <w:tblPrEx>
          <w:tblLayout w:type="fixed"/>
          <w:tblCellMar>
            <w:top w:w="0" w:type="dxa"/>
            <w:left w:w="108" w:type="dxa"/>
            <w:bottom w:w="0" w:type="dxa"/>
            <w:right w:w="108" w:type="dxa"/>
          </w:tblCellMar>
        </w:tblPrEx>
        <w:trPr>
          <w:trHeight w:val="765"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 w:val="28"/>
                <w:szCs w:val="28"/>
              </w:rPr>
            </w:pPr>
            <w:r>
              <w:rPr>
                <w:rFonts w:eastAsia="仿宋_GB2312"/>
                <w:color w:val="000000"/>
                <w:kern w:val="0"/>
                <w:sz w:val="28"/>
                <w:szCs w:val="28"/>
              </w:rPr>
              <w:t>电网服务</w:t>
            </w:r>
          </w:p>
        </w:tc>
        <w:tc>
          <w:tcPr>
            <w:tcW w:w="9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28"/>
                <w:szCs w:val="28"/>
              </w:rPr>
            </w:pPr>
            <w:r>
              <w:rPr>
                <w:color w:val="000000"/>
                <w:kern w:val="0"/>
                <w:sz w:val="28"/>
                <w:szCs w:val="28"/>
              </w:rPr>
              <w:t>10</w:t>
            </w:r>
          </w:p>
        </w:tc>
        <w:tc>
          <w:tcPr>
            <w:tcW w:w="9474" w:type="dxa"/>
            <w:tcBorders>
              <w:top w:val="single" w:color="auto" w:sz="8" w:space="0"/>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省级电网按项目建设周期及时建设配套送出工程，对以前企业投资建设送出工程已回购或已制定明确回购计划（10分）；</w:t>
            </w:r>
          </w:p>
        </w:tc>
      </w:tr>
      <w:tr>
        <w:tblPrEx>
          <w:tblLayout w:type="fixed"/>
          <w:tblCellMar>
            <w:top w:w="0" w:type="dxa"/>
            <w:left w:w="108" w:type="dxa"/>
            <w:bottom w:w="0" w:type="dxa"/>
            <w:right w:w="108" w:type="dxa"/>
          </w:tblCellMar>
        </w:tblPrEx>
        <w:trPr>
          <w:trHeight w:val="39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single" w:color="auto" w:sz="4" w:space="0"/>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电网推迟建设配套送出工程但及时回购企业自建的送出工程（5分）；</w:t>
            </w:r>
          </w:p>
        </w:tc>
      </w:tr>
      <w:tr>
        <w:tblPrEx>
          <w:tblLayout w:type="fixed"/>
          <w:tblCellMar>
            <w:top w:w="0" w:type="dxa"/>
            <w:left w:w="108" w:type="dxa"/>
            <w:bottom w:w="0" w:type="dxa"/>
            <w:right w:w="108" w:type="dxa"/>
          </w:tblCellMar>
        </w:tblPrEx>
        <w:trPr>
          <w:trHeight w:val="405"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single" w:color="auto" w:sz="4" w:space="0"/>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电网推迟建设配套送出工程且不回购企业自建的送出工程（0分）。</w:t>
            </w:r>
          </w:p>
        </w:tc>
      </w:tr>
      <w:tr>
        <w:tblPrEx>
          <w:tblLayout w:type="fixed"/>
          <w:tblCellMar>
            <w:top w:w="0" w:type="dxa"/>
            <w:left w:w="108" w:type="dxa"/>
            <w:bottom w:w="0" w:type="dxa"/>
            <w:right w:w="108" w:type="dxa"/>
          </w:tblCellMar>
        </w:tblPrEx>
        <w:trPr>
          <w:trHeight w:val="825"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 w:val="28"/>
                <w:szCs w:val="28"/>
              </w:rPr>
            </w:pPr>
            <w:r>
              <w:rPr>
                <w:rFonts w:eastAsia="仿宋_GB2312"/>
                <w:color w:val="000000"/>
                <w:kern w:val="0"/>
                <w:sz w:val="28"/>
                <w:szCs w:val="28"/>
              </w:rPr>
              <w:t>政府服务</w:t>
            </w:r>
          </w:p>
        </w:tc>
        <w:tc>
          <w:tcPr>
            <w:tcW w:w="9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28"/>
                <w:szCs w:val="28"/>
              </w:rPr>
            </w:pPr>
            <w:r>
              <w:rPr>
                <w:color w:val="000000"/>
                <w:kern w:val="0"/>
                <w:sz w:val="28"/>
                <w:szCs w:val="28"/>
              </w:rPr>
              <w:t>10</w:t>
            </w:r>
          </w:p>
        </w:tc>
        <w:tc>
          <w:tcPr>
            <w:tcW w:w="9474" w:type="dxa"/>
            <w:tcBorders>
              <w:top w:val="single" w:color="auto" w:sz="8" w:space="0"/>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地方政府制定了光伏发电管理细则，提供一站式市场服务，无变相收费和摊派等增加企业负担行为（10分）；</w:t>
            </w:r>
          </w:p>
        </w:tc>
      </w:tr>
      <w:tr>
        <w:tblPrEx>
          <w:tblLayout w:type="fixed"/>
          <w:tblCellMar>
            <w:top w:w="0" w:type="dxa"/>
            <w:left w:w="108" w:type="dxa"/>
            <w:bottom w:w="0" w:type="dxa"/>
            <w:right w:w="108" w:type="dxa"/>
          </w:tblCellMar>
        </w:tblPrEx>
        <w:trPr>
          <w:trHeight w:val="39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政府服务未制定光伏发电管理细则，无变相收费或产业配套要求（5分）；</w:t>
            </w:r>
          </w:p>
        </w:tc>
      </w:tr>
      <w:tr>
        <w:tblPrEx>
          <w:tblLayout w:type="fixed"/>
          <w:tblCellMar>
            <w:top w:w="0" w:type="dxa"/>
            <w:left w:w="108" w:type="dxa"/>
            <w:bottom w:w="0" w:type="dxa"/>
            <w:right w:w="108" w:type="dxa"/>
          </w:tblCellMar>
        </w:tblPrEx>
        <w:trPr>
          <w:trHeight w:val="36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single" w:color="auto" w:sz="8" w:space="0"/>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地方有变相收费和摊派等增加企业负担行为（-5分）。</w:t>
            </w:r>
          </w:p>
        </w:tc>
      </w:tr>
      <w:tr>
        <w:tblPrEx>
          <w:tblLayout w:type="fixed"/>
          <w:tblCellMar>
            <w:top w:w="0" w:type="dxa"/>
            <w:left w:w="108" w:type="dxa"/>
            <w:bottom w:w="0" w:type="dxa"/>
            <w:right w:w="108" w:type="dxa"/>
          </w:tblCellMar>
        </w:tblPrEx>
        <w:trPr>
          <w:trHeight w:val="375"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 w:val="28"/>
                <w:szCs w:val="28"/>
              </w:rPr>
            </w:pPr>
            <w:r>
              <w:rPr>
                <w:rFonts w:eastAsia="仿宋_GB2312"/>
                <w:color w:val="000000"/>
                <w:kern w:val="0"/>
                <w:sz w:val="28"/>
                <w:szCs w:val="28"/>
              </w:rPr>
              <w:t>国家度电补贴强度</w:t>
            </w:r>
          </w:p>
        </w:tc>
        <w:tc>
          <w:tcPr>
            <w:tcW w:w="9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28"/>
                <w:szCs w:val="28"/>
              </w:rPr>
            </w:pPr>
            <w:r>
              <w:rPr>
                <w:color w:val="000000"/>
                <w:kern w:val="0"/>
                <w:sz w:val="28"/>
                <w:szCs w:val="28"/>
              </w:rPr>
              <w:t>10</w:t>
            </w: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按照上年度新建电站度电补贴强度进行评分：</w:t>
            </w:r>
          </w:p>
        </w:tc>
      </w:tr>
      <w:tr>
        <w:tblPrEx>
          <w:tblLayout w:type="fixed"/>
          <w:tblCellMar>
            <w:top w:w="0" w:type="dxa"/>
            <w:left w:w="108" w:type="dxa"/>
            <w:bottom w:w="0" w:type="dxa"/>
            <w:right w:w="108" w:type="dxa"/>
          </w:tblCellMar>
        </w:tblPrEx>
        <w:trPr>
          <w:trHeight w:val="39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小于等于0.35元/kWh（10分）；</w:t>
            </w:r>
          </w:p>
        </w:tc>
      </w:tr>
      <w:tr>
        <w:tblPrEx>
          <w:tblLayout w:type="fixed"/>
          <w:tblCellMar>
            <w:top w:w="0" w:type="dxa"/>
            <w:left w:w="108" w:type="dxa"/>
            <w:bottom w:w="0" w:type="dxa"/>
            <w:right w:w="108" w:type="dxa"/>
          </w:tblCellMar>
        </w:tblPrEx>
        <w:trPr>
          <w:trHeight w:val="36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nil"/>
              <w:right w:val="single" w:color="auto" w:sz="8" w:space="0"/>
            </w:tcBorders>
            <w:shd w:val="clear" w:color="auto" w:fill="auto"/>
            <w:vAlign w:val="center"/>
          </w:tcPr>
          <w:p>
            <w:pPr>
              <w:widowControl/>
              <w:jc w:val="left"/>
              <w:rPr>
                <w:color w:val="000000"/>
                <w:kern w:val="0"/>
                <w:sz w:val="28"/>
                <w:szCs w:val="28"/>
              </w:rPr>
            </w:pPr>
            <w:r>
              <w:rPr>
                <w:color w:val="000000"/>
                <w:kern w:val="0"/>
                <w:sz w:val="28"/>
                <w:szCs w:val="28"/>
              </w:rPr>
              <w:t>0.36-0.40</w:t>
            </w:r>
            <w:r>
              <w:rPr>
                <w:rFonts w:eastAsia="仿宋_GB2312"/>
                <w:color w:val="000000"/>
                <w:kern w:val="0"/>
                <w:sz w:val="28"/>
                <w:szCs w:val="28"/>
              </w:rPr>
              <w:t>元</w:t>
            </w:r>
            <w:r>
              <w:rPr>
                <w:color w:val="000000"/>
                <w:kern w:val="0"/>
                <w:sz w:val="28"/>
                <w:szCs w:val="28"/>
              </w:rPr>
              <w:t>/kWh</w:t>
            </w:r>
            <w:r>
              <w:rPr>
                <w:rFonts w:eastAsia="仿宋_GB2312"/>
                <w:color w:val="000000"/>
                <w:kern w:val="0"/>
                <w:sz w:val="28"/>
                <w:szCs w:val="28"/>
              </w:rPr>
              <w:t>（</w:t>
            </w:r>
            <w:r>
              <w:rPr>
                <w:color w:val="000000"/>
                <w:kern w:val="0"/>
                <w:sz w:val="28"/>
                <w:szCs w:val="28"/>
              </w:rPr>
              <w:t>6</w:t>
            </w:r>
            <w:r>
              <w:rPr>
                <w:rFonts w:eastAsia="仿宋_GB2312"/>
                <w:color w:val="000000"/>
                <w:kern w:val="0"/>
                <w:sz w:val="28"/>
                <w:szCs w:val="28"/>
              </w:rPr>
              <w:t>分）；</w:t>
            </w:r>
          </w:p>
        </w:tc>
      </w:tr>
      <w:tr>
        <w:tblPrEx>
          <w:tblLayout w:type="fixed"/>
          <w:tblCellMar>
            <w:top w:w="0" w:type="dxa"/>
            <w:left w:w="108" w:type="dxa"/>
            <w:bottom w:w="0" w:type="dxa"/>
            <w:right w:w="108" w:type="dxa"/>
          </w:tblCellMar>
        </w:tblPrEx>
        <w:trPr>
          <w:trHeight w:val="36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nil"/>
              <w:right w:val="single" w:color="auto" w:sz="8" w:space="0"/>
            </w:tcBorders>
            <w:shd w:val="clear" w:color="auto" w:fill="auto"/>
            <w:vAlign w:val="center"/>
          </w:tcPr>
          <w:p>
            <w:pPr>
              <w:widowControl/>
              <w:jc w:val="left"/>
              <w:rPr>
                <w:color w:val="000000"/>
                <w:kern w:val="0"/>
                <w:sz w:val="28"/>
                <w:szCs w:val="28"/>
              </w:rPr>
            </w:pPr>
            <w:r>
              <w:rPr>
                <w:color w:val="000000"/>
                <w:kern w:val="0"/>
                <w:sz w:val="28"/>
                <w:szCs w:val="28"/>
              </w:rPr>
              <w:t>0.41-0.45</w:t>
            </w:r>
            <w:r>
              <w:rPr>
                <w:rFonts w:eastAsia="仿宋_GB2312"/>
                <w:color w:val="000000"/>
                <w:kern w:val="0"/>
                <w:sz w:val="28"/>
                <w:szCs w:val="28"/>
              </w:rPr>
              <w:t>元</w:t>
            </w:r>
            <w:r>
              <w:rPr>
                <w:color w:val="000000"/>
                <w:kern w:val="0"/>
                <w:sz w:val="28"/>
                <w:szCs w:val="28"/>
              </w:rPr>
              <w:t>/kWh</w:t>
            </w:r>
            <w:r>
              <w:rPr>
                <w:rFonts w:eastAsia="仿宋_GB2312"/>
                <w:color w:val="000000"/>
                <w:kern w:val="0"/>
                <w:sz w:val="28"/>
                <w:szCs w:val="28"/>
              </w:rPr>
              <w:t>（</w:t>
            </w:r>
            <w:r>
              <w:rPr>
                <w:color w:val="000000"/>
                <w:kern w:val="0"/>
                <w:sz w:val="28"/>
                <w:szCs w:val="28"/>
              </w:rPr>
              <w:t>3</w:t>
            </w:r>
            <w:r>
              <w:rPr>
                <w:rFonts w:eastAsia="仿宋_GB2312"/>
                <w:color w:val="000000"/>
                <w:kern w:val="0"/>
                <w:sz w:val="28"/>
                <w:szCs w:val="28"/>
              </w:rPr>
              <w:t>分）；</w:t>
            </w:r>
          </w:p>
        </w:tc>
      </w:tr>
      <w:tr>
        <w:tblPrEx>
          <w:tblLayout w:type="fixed"/>
          <w:tblCellMar>
            <w:top w:w="0" w:type="dxa"/>
            <w:left w:w="108" w:type="dxa"/>
            <w:bottom w:w="0" w:type="dxa"/>
            <w:right w:w="108" w:type="dxa"/>
          </w:tblCellMar>
        </w:tblPrEx>
        <w:trPr>
          <w:trHeight w:val="36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大于0.45元/kWh（0分）。</w:t>
            </w:r>
          </w:p>
          <w:p>
            <w:pPr>
              <w:widowControl/>
              <w:jc w:val="left"/>
              <w:rPr>
                <w:rFonts w:eastAsia="仿宋_GB2312"/>
                <w:color w:val="000000"/>
                <w:kern w:val="0"/>
                <w:sz w:val="28"/>
                <w:szCs w:val="28"/>
              </w:rPr>
            </w:pPr>
            <w:r>
              <w:rPr>
                <w:rFonts w:eastAsia="仿宋_GB2312"/>
                <w:color w:val="000000"/>
                <w:kern w:val="0"/>
                <w:sz w:val="28"/>
                <w:szCs w:val="28"/>
              </w:rPr>
              <w:t>按照后续新建工程电价下降幅度对评分区间进行调整。</w:t>
            </w:r>
          </w:p>
        </w:tc>
      </w:tr>
      <w:tr>
        <w:tblPrEx>
          <w:tblLayout w:type="fixed"/>
          <w:tblCellMar>
            <w:top w:w="0" w:type="dxa"/>
            <w:left w:w="108" w:type="dxa"/>
            <w:bottom w:w="0" w:type="dxa"/>
            <w:right w:w="108" w:type="dxa"/>
          </w:tblCellMar>
        </w:tblPrEx>
        <w:trPr>
          <w:trHeight w:val="36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 w:val="28"/>
                <w:szCs w:val="28"/>
              </w:rPr>
            </w:pPr>
            <w:r>
              <w:rPr>
                <w:rFonts w:eastAsia="仿宋_GB2312"/>
                <w:color w:val="000000"/>
                <w:kern w:val="0"/>
                <w:sz w:val="28"/>
                <w:szCs w:val="28"/>
              </w:rPr>
              <w:t>竞争性配置项目补贴平均降幅</w:t>
            </w:r>
          </w:p>
        </w:tc>
        <w:tc>
          <w:tcPr>
            <w:tcW w:w="95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kern w:val="0"/>
                <w:sz w:val="28"/>
                <w:szCs w:val="28"/>
              </w:rPr>
            </w:pPr>
            <w:r>
              <w:rPr>
                <w:color w:val="000000"/>
                <w:kern w:val="0"/>
                <w:sz w:val="28"/>
                <w:szCs w:val="28"/>
              </w:rPr>
              <w:t>5</w:t>
            </w:r>
          </w:p>
        </w:tc>
        <w:tc>
          <w:tcPr>
            <w:tcW w:w="9474"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按照当年度竞争性配置电站平均电价与当地光伏发电标杆上网电价之差进行评分：</w:t>
            </w:r>
          </w:p>
        </w:tc>
      </w:tr>
      <w:tr>
        <w:tblPrEx>
          <w:tblLayout w:type="fixed"/>
          <w:tblCellMar>
            <w:top w:w="0" w:type="dxa"/>
            <w:left w:w="108" w:type="dxa"/>
            <w:bottom w:w="0" w:type="dxa"/>
            <w:right w:w="108" w:type="dxa"/>
          </w:tblCellMar>
        </w:tblPrEx>
        <w:trPr>
          <w:trHeight w:val="39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single" w:color="auto" w:sz="4" w:space="0"/>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降幅大于0.05元/kWh（含0.05）（5分）；</w:t>
            </w:r>
          </w:p>
        </w:tc>
      </w:tr>
      <w:tr>
        <w:tblPrEx>
          <w:tblLayout w:type="fixed"/>
          <w:tblCellMar>
            <w:top w:w="0" w:type="dxa"/>
            <w:left w:w="108" w:type="dxa"/>
            <w:bottom w:w="0" w:type="dxa"/>
            <w:right w:w="108" w:type="dxa"/>
          </w:tblCellMar>
        </w:tblPrEx>
        <w:trPr>
          <w:trHeight w:val="39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降幅0.03-0.05元/kWh（含0.03）（4分）；</w:t>
            </w:r>
          </w:p>
        </w:tc>
      </w:tr>
      <w:tr>
        <w:tblPrEx>
          <w:tblLayout w:type="fixed"/>
          <w:tblCellMar>
            <w:top w:w="0" w:type="dxa"/>
            <w:left w:w="108" w:type="dxa"/>
            <w:bottom w:w="0" w:type="dxa"/>
            <w:right w:w="108" w:type="dxa"/>
          </w:tblCellMar>
        </w:tblPrEx>
        <w:trPr>
          <w:trHeight w:val="39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降幅0.01-0.03元/kWh（含0.01）（2分）；</w:t>
            </w:r>
          </w:p>
        </w:tc>
      </w:tr>
      <w:tr>
        <w:tblPrEx>
          <w:tblLayout w:type="fixed"/>
          <w:tblCellMar>
            <w:top w:w="0" w:type="dxa"/>
            <w:left w:w="108" w:type="dxa"/>
            <w:bottom w:w="0" w:type="dxa"/>
            <w:right w:w="108" w:type="dxa"/>
          </w:tblCellMar>
        </w:tblPrEx>
        <w:trPr>
          <w:trHeight w:val="39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single" w:color="auto" w:sz="8" w:space="0"/>
            </w:tcBorders>
            <w:vAlign w:val="center"/>
          </w:tcPr>
          <w:p>
            <w:pPr>
              <w:widowControl/>
              <w:jc w:val="left"/>
              <w:rPr>
                <w:color w:val="000000"/>
                <w:kern w:val="0"/>
                <w:sz w:val="28"/>
                <w:szCs w:val="28"/>
              </w:rPr>
            </w:pPr>
          </w:p>
        </w:tc>
        <w:tc>
          <w:tcPr>
            <w:tcW w:w="9474" w:type="dxa"/>
            <w:tcBorders>
              <w:top w:val="nil"/>
              <w:left w:val="nil"/>
              <w:bottom w:val="single" w:color="auto" w:sz="8" w:space="0"/>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降幅小于0.01元/kWh（0分）。</w:t>
            </w:r>
          </w:p>
        </w:tc>
      </w:tr>
      <w:tr>
        <w:tblPrEx>
          <w:tblLayout w:type="fixed"/>
          <w:tblCellMar>
            <w:top w:w="0" w:type="dxa"/>
            <w:left w:w="108" w:type="dxa"/>
            <w:bottom w:w="0" w:type="dxa"/>
            <w:right w:w="108" w:type="dxa"/>
          </w:tblCellMar>
        </w:tblPrEx>
        <w:trPr>
          <w:trHeight w:val="390"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仿宋_GB2312"/>
                <w:color w:val="000000"/>
                <w:kern w:val="0"/>
                <w:sz w:val="28"/>
                <w:szCs w:val="28"/>
              </w:rPr>
            </w:pPr>
            <w:r>
              <w:rPr>
                <w:rFonts w:eastAsia="仿宋_GB2312"/>
                <w:color w:val="000000"/>
                <w:kern w:val="0"/>
                <w:sz w:val="28"/>
                <w:szCs w:val="28"/>
              </w:rPr>
              <w:t>地方政府补贴力度</w:t>
            </w:r>
          </w:p>
        </w:tc>
        <w:tc>
          <w:tcPr>
            <w:tcW w:w="950" w:type="dxa"/>
            <w:vMerge w:val="restart"/>
            <w:tcBorders>
              <w:top w:val="nil"/>
              <w:left w:val="single" w:color="auto" w:sz="8" w:space="0"/>
              <w:bottom w:val="single" w:color="000000" w:sz="8" w:space="0"/>
              <w:right w:val="nil"/>
            </w:tcBorders>
            <w:shd w:val="clear" w:color="auto" w:fill="auto"/>
            <w:vAlign w:val="center"/>
          </w:tcPr>
          <w:p>
            <w:pPr>
              <w:widowControl/>
              <w:jc w:val="center"/>
              <w:rPr>
                <w:color w:val="000000"/>
                <w:kern w:val="0"/>
                <w:sz w:val="28"/>
                <w:szCs w:val="28"/>
              </w:rPr>
            </w:pPr>
            <w:r>
              <w:rPr>
                <w:color w:val="000000"/>
                <w:kern w:val="0"/>
                <w:sz w:val="28"/>
                <w:szCs w:val="28"/>
              </w:rPr>
              <w:t>10</w:t>
            </w:r>
          </w:p>
        </w:tc>
        <w:tc>
          <w:tcPr>
            <w:tcW w:w="9474" w:type="dxa"/>
            <w:tcBorders>
              <w:top w:val="nil"/>
              <w:left w:val="single" w:color="auto" w:sz="8" w:space="0"/>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按补贴区域数量之和进行评分，市县级补贴按数量比例折算分值，满分为10分：</w:t>
            </w:r>
          </w:p>
        </w:tc>
      </w:tr>
      <w:tr>
        <w:tblPrEx>
          <w:tblLayout w:type="fixed"/>
          <w:tblCellMar>
            <w:top w:w="0" w:type="dxa"/>
            <w:left w:w="108" w:type="dxa"/>
            <w:bottom w:w="0" w:type="dxa"/>
            <w:right w:w="108" w:type="dxa"/>
          </w:tblCellMar>
        </w:tblPrEx>
        <w:trPr>
          <w:trHeight w:val="435"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nil"/>
            </w:tcBorders>
            <w:vAlign w:val="center"/>
          </w:tcPr>
          <w:p>
            <w:pPr>
              <w:widowControl/>
              <w:jc w:val="left"/>
              <w:rPr>
                <w:color w:val="000000"/>
                <w:kern w:val="0"/>
                <w:sz w:val="28"/>
                <w:szCs w:val="28"/>
              </w:rPr>
            </w:pPr>
          </w:p>
        </w:tc>
        <w:tc>
          <w:tcPr>
            <w:tcW w:w="9474" w:type="dxa"/>
            <w:tcBorders>
              <w:top w:val="nil"/>
              <w:left w:val="single" w:color="auto" w:sz="8" w:space="0"/>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省级补贴+6分；</w:t>
            </w:r>
          </w:p>
        </w:tc>
      </w:tr>
      <w:tr>
        <w:tblPrEx>
          <w:tblLayout w:type="fixed"/>
          <w:tblCellMar>
            <w:top w:w="0" w:type="dxa"/>
            <w:left w:w="108" w:type="dxa"/>
            <w:bottom w:w="0" w:type="dxa"/>
            <w:right w:w="108" w:type="dxa"/>
          </w:tblCellMar>
        </w:tblPrEx>
        <w:trPr>
          <w:trHeight w:val="435"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nil"/>
            </w:tcBorders>
            <w:vAlign w:val="center"/>
          </w:tcPr>
          <w:p>
            <w:pPr>
              <w:widowControl/>
              <w:jc w:val="left"/>
              <w:rPr>
                <w:color w:val="000000"/>
                <w:kern w:val="0"/>
                <w:sz w:val="28"/>
                <w:szCs w:val="28"/>
              </w:rPr>
            </w:pPr>
          </w:p>
        </w:tc>
        <w:tc>
          <w:tcPr>
            <w:tcW w:w="9474" w:type="dxa"/>
            <w:tcBorders>
              <w:top w:val="nil"/>
              <w:left w:val="single" w:color="auto" w:sz="8" w:space="0"/>
              <w:bottom w:val="nil"/>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市级补贴+2分；</w:t>
            </w:r>
          </w:p>
        </w:tc>
      </w:tr>
      <w:tr>
        <w:tblPrEx>
          <w:tblLayout w:type="fixed"/>
          <w:tblCellMar>
            <w:top w:w="0" w:type="dxa"/>
            <w:left w:w="108" w:type="dxa"/>
            <w:bottom w:w="0" w:type="dxa"/>
            <w:right w:w="108" w:type="dxa"/>
          </w:tblCellMar>
        </w:tblPrEx>
        <w:trPr>
          <w:trHeight w:val="435" w:hRule="atLeast"/>
        </w:trPr>
        <w:tc>
          <w:tcPr>
            <w:tcW w:w="1243"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1985" w:type="dxa"/>
            <w:vMerge w:val="continue"/>
            <w:tcBorders>
              <w:top w:val="nil"/>
              <w:left w:val="single" w:color="auto" w:sz="8" w:space="0"/>
              <w:bottom w:val="single" w:color="000000" w:sz="8" w:space="0"/>
              <w:right w:val="single" w:color="auto" w:sz="8" w:space="0"/>
            </w:tcBorders>
            <w:vAlign w:val="center"/>
          </w:tcPr>
          <w:p>
            <w:pPr>
              <w:widowControl/>
              <w:jc w:val="left"/>
              <w:rPr>
                <w:rFonts w:eastAsia="仿宋_GB2312"/>
                <w:color w:val="000000"/>
                <w:kern w:val="0"/>
                <w:sz w:val="28"/>
                <w:szCs w:val="28"/>
              </w:rPr>
            </w:pPr>
          </w:p>
        </w:tc>
        <w:tc>
          <w:tcPr>
            <w:tcW w:w="950" w:type="dxa"/>
            <w:vMerge w:val="continue"/>
            <w:tcBorders>
              <w:top w:val="nil"/>
              <w:left w:val="single" w:color="auto" w:sz="8" w:space="0"/>
              <w:bottom w:val="single" w:color="000000" w:sz="8" w:space="0"/>
              <w:right w:val="nil"/>
            </w:tcBorders>
            <w:vAlign w:val="center"/>
          </w:tcPr>
          <w:p>
            <w:pPr>
              <w:widowControl/>
              <w:jc w:val="left"/>
              <w:rPr>
                <w:color w:val="000000"/>
                <w:kern w:val="0"/>
                <w:sz w:val="28"/>
                <w:szCs w:val="28"/>
              </w:rPr>
            </w:pPr>
          </w:p>
        </w:tc>
        <w:tc>
          <w:tcPr>
            <w:tcW w:w="9474"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eastAsia="仿宋_GB2312"/>
                <w:color w:val="000000"/>
                <w:kern w:val="0"/>
                <w:sz w:val="28"/>
                <w:szCs w:val="28"/>
              </w:rPr>
            </w:pPr>
            <w:r>
              <w:rPr>
                <w:rFonts w:eastAsia="仿宋_GB2312"/>
                <w:color w:val="000000"/>
                <w:kern w:val="0"/>
                <w:sz w:val="28"/>
                <w:szCs w:val="28"/>
              </w:rPr>
              <w:t>县级补贴+1分；</w:t>
            </w:r>
          </w:p>
        </w:tc>
      </w:tr>
    </w:tbl>
    <w:p>
      <w:pPr>
        <w:spacing w:beforeLines="50" w:afterLines="50" w:line="360" w:lineRule="auto"/>
        <w:jc w:val="left"/>
        <w:outlineLvl w:val="0"/>
        <w:rPr>
          <w:rFonts w:eastAsia="黑体"/>
          <w:sz w:val="32"/>
          <w:szCs w:val="32"/>
        </w:rPr>
      </w:pPr>
    </w:p>
    <w:p>
      <w:pPr>
        <w:spacing w:beforeLines="50" w:afterLines="50" w:line="360" w:lineRule="auto"/>
        <w:jc w:val="left"/>
        <w:outlineLvl w:val="0"/>
        <w:rPr>
          <w:rFonts w:eastAsia="黑体"/>
          <w:sz w:val="32"/>
          <w:szCs w:val="32"/>
        </w:rPr>
      </w:pPr>
    </w:p>
    <w:p>
      <w:pPr>
        <w:spacing w:beforeLines="50" w:afterLines="50"/>
        <w:jc w:val="left"/>
        <w:rPr>
          <w:rFonts w:eastAsia="仿宋_GB2312"/>
          <w:b/>
          <w:sz w:val="32"/>
          <w:szCs w:val="32"/>
        </w:rPr>
        <w:sectPr>
          <w:pgSz w:w="16838" w:h="11906" w:orient="landscape"/>
          <w:pgMar w:top="1616" w:right="1928" w:bottom="1616" w:left="1474" w:header="851" w:footer="992"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778661"/>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0099A"/>
    <w:rsid w:val="3B100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2017-08-25T01:43:00Z</dcterms:created>
  <dc:creator>user</dc:creator>
  <cp:lastModifiedBy>user</cp:lastModifiedBy>
  <dcterms:modified xsi:type="dcterms:W3CDTF">2017-08-25T01:44:30Z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