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42" w:type="dxa"/>
        <w:jc w:val="center"/>
        <w:tblInd w:w="-2791" w:type="dxa"/>
        <w:tblLook w:val="00A0"/>
      </w:tblPr>
      <w:tblGrid>
        <w:gridCol w:w="1082"/>
        <w:gridCol w:w="1626"/>
        <w:gridCol w:w="1271"/>
        <w:gridCol w:w="4255"/>
        <w:gridCol w:w="2063"/>
        <w:gridCol w:w="4145"/>
      </w:tblGrid>
      <w:tr w:rsidR="00A81CD2" w:rsidTr="00A81CD2">
        <w:trPr>
          <w:trHeight w:val="595"/>
          <w:jc w:val="center"/>
        </w:trPr>
        <w:tc>
          <w:tcPr>
            <w:tcW w:w="14442" w:type="dxa"/>
            <w:gridSpan w:val="6"/>
            <w:tcBorders>
              <w:top w:val="nil"/>
              <w:left w:val="nil"/>
              <w:bottom w:val="single" w:sz="8" w:space="0" w:color="auto"/>
              <w:right w:val="nil"/>
            </w:tcBorders>
            <w:noWrap/>
            <w:vAlign w:val="center"/>
          </w:tcPr>
          <w:p w:rsidR="00A81CD2" w:rsidRDefault="00A81CD2" w:rsidP="00A81CD2">
            <w:pPr>
              <w:spacing w:beforeLines="50" w:afterLines="50" w:line="340" w:lineRule="exact"/>
              <w:rPr>
                <w:rFonts w:ascii="黑体" w:eastAsia="黑体" w:hAnsi="楷体_GB2312" w:hint="eastAsia"/>
                <w:sz w:val="30"/>
                <w:szCs w:val="30"/>
              </w:rPr>
            </w:pPr>
            <w:r>
              <w:rPr>
                <w:rFonts w:ascii="黑体" w:eastAsia="黑体" w:hAnsi="楷体_GB2312" w:hint="eastAsia"/>
                <w:sz w:val="30"/>
                <w:szCs w:val="30"/>
              </w:rPr>
              <w:t>附  表：</w:t>
            </w:r>
          </w:p>
          <w:p w:rsidR="00A81CD2" w:rsidRDefault="00A81CD2" w:rsidP="000D54D3">
            <w:pPr>
              <w:spacing w:line="340" w:lineRule="exact"/>
              <w:jc w:val="center"/>
              <w:rPr>
                <w:rFonts w:ascii="华文中宋" w:eastAsia="华文中宋" w:hAnsi="华文中宋" w:cs="宋体"/>
                <w:b/>
                <w:bCs/>
                <w:color w:val="000000"/>
                <w:sz w:val="36"/>
                <w:szCs w:val="36"/>
              </w:rPr>
            </w:pPr>
            <w:r>
              <w:rPr>
                <w:rFonts w:ascii="华文中宋" w:eastAsia="华文中宋" w:hAnsi="华文中宋" w:cs="宋体" w:hint="eastAsia"/>
                <w:b/>
                <w:bCs/>
                <w:color w:val="000000"/>
                <w:sz w:val="36"/>
                <w:szCs w:val="36"/>
              </w:rPr>
              <w:t>上海市2016年节能减排专项资金安排计划（第一批）</w:t>
            </w:r>
          </w:p>
        </w:tc>
      </w:tr>
      <w:tr w:rsidR="00A81CD2" w:rsidTr="00A81CD2">
        <w:trPr>
          <w:trHeight w:val="220"/>
          <w:jc w:val="center"/>
        </w:trPr>
        <w:tc>
          <w:tcPr>
            <w:tcW w:w="1082" w:type="dxa"/>
            <w:tcBorders>
              <w:top w:val="nil"/>
              <w:left w:val="single" w:sz="8" w:space="0" w:color="auto"/>
              <w:bottom w:val="single" w:sz="4" w:space="0" w:color="auto"/>
              <w:right w:val="single" w:sz="4" w:space="0" w:color="auto"/>
            </w:tcBorders>
            <w:noWrap/>
            <w:vAlign w:val="center"/>
          </w:tcPr>
          <w:p w:rsidR="00A81CD2" w:rsidRDefault="00A81CD2" w:rsidP="000D54D3">
            <w:pPr>
              <w:spacing w:line="240" w:lineRule="atLeast"/>
              <w:jc w:val="center"/>
              <w:rPr>
                <w:rFonts w:ascii="楷体_GB2312" w:eastAsia="楷体_GB2312" w:hAnsi="宋体" w:cs="宋体"/>
                <w:b/>
                <w:color w:val="000000"/>
              </w:rPr>
            </w:pPr>
            <w:r>
              <w:rPr>
                <w:rFonts w:ascii="楷体_GB2312" w:eastAsia="楷体_GB2312" w:hAnsi="宋体" w:cs="宋体" w:hint="eastAsia"/>
                <w:b/>
                <w:color w:val="000000"/>
              </w:rPr>
              <w:t>序号</w:t>
            </w:r>
          </w:p>
        </w:tc>
        <w:tc>
          <w:tcPr>
            <w:tcW w:w="1626" w:type="dxa"/>
            <w:tcBorders>
              <w:top w:val="nil"/>
              <w:left w:val="nil"/>
              <w:bottom w:val="single" w:sz="4" w:space="0" w:color="auto"/>
              <w:right w:val="single" w:sz="4" w:space="0" w:color="auto"/>
            </w:tcBorders>
            <w:noWrap/>
            <w:vAlign w:val="center"/>
          </w:tcPr>
          <w:p w:rsidR="00A81CD2" w:rsidRDefault="00A81CD2" w:rsidP="000D54D3">
            <w:pPr>
              <w:spacing w:line="240" w:lineRule="atLeast"/>
              <w:jc w:val="center"/>
              <w:rPr>
                <w:rFonts w:ascii="楷体_GB2312" w:eastAsia="楷体_GB2312" w:hAnsi="宋体" w:cs="宋体"/>
                <w:b/>
                <w:color w:val="000000"/>
              </w:rPr>
            </w:pPr>
            <w:r>
              <w:rPr>
                <w:rFonts w:ascii="楷体_GB2312" w:eastAsia="楷体_GB2312" w:hAnsi="宋体" w:cs="宋体" w:hint="eastAsia"/>
                <w:b/>
                <w:color w:val="000000"/>
              </w:rPr>
              <w:t>支持方向</w:t>
            </w:r>
          </w:p>
        </w:tc>
        <w:tc>
          <w:tcPr>
            <w:tcW w:w="1271" w:type="dxa"/>
            <w:tcBorders>
              <w:top w:val="nil"/>
              <w:left w:val="nil"/>
              <w:bottom w:val="single" w:sz="4" w:space="0" w:color="auto"/>
              <w:right w:val="single" w:sz="4" w:space="0" w:color="auto"/>
            </w:tcBorders>
            <w:vAlign w:val="center"/>
          </w:tcPr>
          <w:p w:rsidR="00A81CD2" w:rsidRDefault="00A81CD2" w:rsidP="000D54D3">
            <w:pPr>
              <w:spacing w:line="240" w:lineRule="atLeast"/>
              <w:rPr>
                <w:rFonts w:ascii="楷体_GB2312" w:eastAsia="楷体_GB2312" w:hAnsi="宋体" w:cs="宋体" w:hint="eastAsia"/>
                <w:b/>
                <w:color w:val="000000"/>
                <w:spacing w:val="-16"/>
                <w:szCs w:val="21"/>
              </w:rPr>
            </w:pPr>
          </w:p>
          <w:p w:rsidR="00A81CD2" w:rsidRPr="00320B92" w:rsidRDefault="00A81CD2" w:rsidP="000D54D3">
            <w:pPr>
              <w:spacing w:line="240" w:lineRule="atLeast"/>
              <w:rPr>
                <w:rFonts w:ascii="楷体_GB2312" w:eastAsia="楷体_GB2312" w:hAnsi="宋体" w:cs="宋体"/>
                <w:b/>
                <w:color w:val="000000"/>
                <w:spacing w:val="-16"/>
                <w:szCs w:val="21"/>
              </w:rPr>
            </w:pPr>
            <w:r w:rsidRPr="00320B92">
              <w:rPr>
                <w:rFonts w:ascii="楷体_GB2312" w:eastAsia="楷体_GB2312" w:hAnsi="宋体" w:cs="宋体" w:hint="eastAsia"/>
                <w:b/>
                <w:color w:val="000000"/>
                <w:spacing w:val="-16"/>
                <w:szCs w:val="21"/>
              </w:rPr>
              <w:t>金额（万元）</w:t>
            </w:r>
          </w:p>
          <w:p w:rsidR="00A81CD2" w:rsidRDefault="00A81CD2" w:rsidP="000D54D3">
            <w:pPr>
              <w:spacing w:line="240" w:lineRule="atLeast"/>
              <w:jc w:val="center"/>
              <w:rPr>
                <w:rFonts w:ascii="楷体_GB2312" w:eastAsia="楷体_GB2312" w:hAnsi="宋体" w:cs="宋体"/>
                <w:b/>
                <w:color w:val="000000"/>
              </w:rPr>
            </w:pPr>
          </w:p>
        </w:tc>
        <w:tc>
          <w:tcPr>
            <w:tcW w:w="4255" w:type="dxa"/>
            <w:tcBorders>
              <w:top w:val="nil"/>
              <w:left w:val="nil"/>
              <w:bottom w:val="single" w:sz="4" w:space="0" w:color="auto"/>
              <w:right w:val="single" w:sz="4" w:space="0" w:color="auto"/>
            </w:tcBorders>
            <w:noWrap/>
            <w:vAlign w:val="center"/>
          </w:tcPr>
          <w:p w:rsidR="00A81CD2" w:rsidRDefault="00A81CD2" w:rsidP="000D54D3">
            <w:pPr>
              <w:spacing w:line="240" w:lineRule="atLeast"/>
              <w:jc w:val="center"/>
              <w:rPr>
                <w:rFonts w:ascii="楷体_GB2312" w:eastAsia="楷体_GB2312" w:hAnsi="宋体" w:cs="宋体"/>
                <w:b/>
                <w:color w:val="000000"/>
              </w:rPr>
            </w:pPr>
            <w:r>
              <w:rPr>
                <w:rFonts w:ascii="楷体_GB2312" w:eastAsia="楷体_GB2312" w:hAnsi="宋体" w:cs="宋体" w:hint="eastAsia"/>
                <w:b/>
                <w:color w:val="000000"/>
              </w:rPr>
              <w:t>具体支持内容</w:t>
            </w:r>
          </w:p>
        </w:tc>
        <w:tc>
          <w:tcPr>
            <w:tcW w:w="2063" w:type="dxa"/>
            <w:tcBorders>
              <w:top w:val="nil"/>
              <w:left w:val="nil"/>
              <w:bottom w:val="single" w:sz="4" w:space="0" w:color="auto"/>
              <w:right w:val="single" w:sz="4" w:space="0" w:color="auto"/>
            </w:tcBorders>
            <w:noWrap/>
            <w:vAlign w:val="center"/>
          </w:tcPr>
          <w:p w:rsidR="00A81CD2" w:rsidRDefault="00A81CD2" w:rsidP="000D54D3">
            <w:pPr>
              <w:spacing w:line="240" w:lineRule="atLeast"/>
              <w:jc w:val="center"/>
              <w:rPr>
                <w:rFonts w:ascii="楷体_GB2312" w:eastAsia="楷体_GB2312" w:hAnsi="宋体" w:cs="宋体"/>
                <w:b/>
                <w:color w:val="000000"/>
              </w:rPr>
            </w:pPr>
            <w:r>
              <w:rPr>
                <w:rFonts w:ascii="楷体_GB2312" w:eastAsia="楷体_GB2312" w:hAnsi="宋体" w:cs="宋体" w:hint="eastAsia"/>
                <w:b/>
                <w:color w:val="000000"/>
              </w:rPr>
              <w:t>负责部门</w:t>
            </w:r>
          </w:p>
        </w:tc>
        <w:tc>
          <w:tcPr>
            <w:tcW w:w="4144" w:type="dxa"/>
            <w:tcBorders>
              <w:top w:val="nil"/>
              <w:left w:val="nil"/>
              <w:bottom w:val="single" w:sz="4" w:space="0" w:color="auto"/>
              <w:right w:val="single" w:sz="8" w:space="0" w:color="auto"/>
            </w:tcBorders>
            <w:noWrap/>
            <w:vAlign w:val="center"/>
          </w:tcPr>
          <w:p w:rsidR="00A81CD2" w:rsidRDefault="00A81CD2" w:rsidP="000D54D3">
            <w:pPr>
              <w:spacing w:line="240" w:lineRule="atLeast"/>
              <w:jc w:val="center"/>
              <w:rPr>
                <w:rFonts w:ascii="楷体_GB2312" w:eastAsia="楷体_GB2312" w:hAnsi="宋体" w:cs="宋体"/>
                <w:color w:val="000000"/>
                <w:szCs w:val="21"/>
              </w:rPr>
            </w:pPr>
            <w:r>
              <w:rPr>
                <w:rFonts w:ascii="楷体_GB2312" w:eastAsia="楷体_GB2312" w:hAnsi="宋体" w:cs="宋体" w:hint="eastAsia"/>
                <w:color w:val="000000"/>
                <w:szCs w:val="21"/>
              </w:rPr>
              <w:t>使用依据</w:t>
            </w:r>
          </w:p>
        </w:tc>
      </w:tr>
      <w:tr w:rsidR="00A81CD2" w:rsidTr="00A81CD2">
        <w:trPr>
          <w:trHeight w:val="209"/>
          <w:jc w:val="center"/>
        </w:trPr>
        <w:tc>
          <w:tcPr>
            <w:tcW w:w="1082" w:type="dxa"/>
            <w:tcBorders>
              <w:top w:val="nil"/>
              <w:left w:val="single" w:sz="8" w:space="0" w:color="auto"/>
              <w:bottom w:val="single" w:sz="4" w:space="0" w:color="auto"/>
              <w:right w:val="single" w:sz="4" w:space="0" w:color="auto"/>
            </w:tcBorders>
            <w:noWrap/>
            <w:vAlign w:val="center"/>
          </w:tcPr>
          <w:p w:rsidR="00A81CD2" w:rsidRDefault="00A81CD2" w:rsidP="000D54D3">
            <w:pPr>
              <w:spacing w:line="240" w:lineRule="atLeast"/>
              <w:jc w:val="center"/>
              <w:rPr>
                <w:rFonts w:ascii="楷体_GB2312" w:eastAsia="楷体_GB2312" w:hAnsi="宋体" w:cs="宋体" w:hint="eastAsia"/>
                <w:b/>
                <w:color w:val="000000"/>
              </w:rPr>
            </w:pPr>
            <w:r>
              <w:rPr>
                <w:rFonts w:ascii="楷体_GB2312" w:eastAsia="楷体_GB2312" w:hAnsi="宋体" w:cs="宋体" w:hint="eastAsia"/>
                <w:color w:val="000000"/>
                <w:szCs w:val="21"/>
              </w:rPr>
              <w:t>1</w:t>
            </w:r>
          </w:p>
        </w:tc>
        <w:tc>
          <w:tcPr>
            <w:tcW w:w="1626" w:type="dxa"/>
            <w:tcBorders>
              <w:top w:val="nil"/>
              <w:left w:val="nil"/>
              <w:bottom w:val="single" w:sz="4" w:space="0" w:color="auto"/>
              <w:right w:val="single" w:sz="4" w:space="0" w:color="auto"/>
            </w:tcBorders>
            <w:noWrap/>
            <w:vAlign w:val="center"/>
          </w:tcPr>
          <w:p w:rsidR="00A81CD2" w:rsidRPr="004F35A0" w:rsidRDefault="00A81CD2" w:rsidP="000D54D3">
            <w:pPr>
              <w:spacing w:line="240" w:lineRule="atLeast"/>
              <w:jc w:val="center"/>
              <w:rPr>
                <w:rFonts w:ascii="楷体_GB2312" w:eastAsia="楷体_GB2312" w:hAnsi="宋体" w:cs="宋体"/>
                <w:color w:val="000000"/>
                <w:szCs w:val="21"/>
              </w:rPr>
            </w:pPr>
            <w:r w:rsidRPr="004F35A0">
              <w:rPr>
                <w:rFonts w:ascii="楷体_GB2312" w:eastAsia="楷体_GB2312" w:hAnsi="宋体" w:cs="宋体" w:hint="eastAsia"/>
                <w:color w:val="000000"/>
                <w:szCs w:val="21"/>
              </w:rPr>
              <w:t>老旧汽车淘汰</w:t>
            </w:r>
          </w:p>
        </w:tc>
        <w:tc>
          <w:tcPr>
            <w:tcW w:w="1271" w:type="dxa"/>
            <w:tcBorders>
              <w:top w:val="nil"/>
              <w:left w:val="nil"/>
              <w:bottom w:val="single" w:sz="4" w:space="0" w:color="auto"/>
              <w:right w:val="single" w:sz="4" w:space="0" w:color="auto"/>
            </w:tcBorders>
            <w:vAlign w:val="center"/>
          </w:tcPr>
          <w:p w:rsidR="00A81CD2" w:rsidRDefault="00A81CD2" w:rsidP="000D54D3">
            <w:pPr>
              <w:spacing w:line="240" w:lineRule="atLeast"/>
              <w:jc w:val="center"/>
              <w:rPr>
                <w:rFonts w:ascii="楷体_GB2312" w:eastAsia="楷体_GB2312" w:hAnsi="宋体" w:cs="宋体" w:hint="eastAsia"/>
                <w:b/>
                <w:color w:val="000000"/>
              </w:rPr>
            </w:pPr>
            <w:r>
              <w:rPr>
                <w:rFonts w:ascii="楷体_GB2312" w:eastAsia="楷体_GB2312" w:hAnsi="宋体" w:cs="宋体" w:hint="eastAsia"/>
                <w:b/>
                <w:color w:val="000000"/>
              </w:rPr>
              <w:t>4244.1</w:t>
            </w:r>
          </w:p>
        </w:tc>
        <w:tc>
          <w:tcPr>
            <w:tcW w:w="4255" w:type="dxa"/>
            <w:tcBorders>
              <w:top w:val="nil"/>
              <w:left w:val="nil"/>
              <w:bottom w:val="single" w:sz="4" w:space="0" w:color="auto"/>
              <w:right w:val="single" w:sz="4" w:space="0" w:color="auto"/>
            </w:tcBorders>
            <w:noWrap/>
            <w:vAlign w:val="center"/>
          </w:tcPr>
          <w:p w:rsidR="00A81CD2" w:rsidRDefault="00A81CD2" w:rsidP="000D54D3">
            <w:pPr>
              <w:spacing w:line="240" w:lineRule="atLeast"/>
              <w:rPr>
                <w:rFonts w:ascii="楷体_GB2312" w:eastAsia="楷体_GB2312" w:hAnsi="宋体" w:cs="宋体" w:hint="eastAsia"/>
                <w:color w:val="000000"/>
                <w:szCs w:val="21"/>
              </w:rPr>
            </w:pPr>
            <w:r w:rsidRPr="00FF3DDD">
              <w:rPr>
                <w:rFonts w:ascii="楷体_GB2312" w:eastAsia="楷体_GB2312" w:hAnsi="宋体" w:cs="宋体" w:hint="eastAsia"/>
                <w:color w:val="000000"/>
                <w:szCs w:val="21"/>
              </w:rPr>
              <w:t>安排经审核通过的2016第十四批2075辆老旧汽车淘汰补贴资金1863.85万元；</w:t>
            </w:r>
          </w:p>
          <w:p w:rsidR="00A81CD2" w:rsidRDefault="00A81CD2" w:rsidP="000D54D3">
            <w:pPr>
              <w:spacing w:line="240" w:lineRule="atLeast"/>
              <w:rPr>
                <w:rFonts w:ascii="楷体_GB2312" w:eastAsia="楷体_GB2312" w:hAnsi="宋体" w:cs="宋体" w:hint="eastAsia"/>
                <w:color w:val="000000"/>
                <w:szCs w:val="21"/>
              </w:rPr>
            </w:pPr>
            <w:r w:rsidRPr="00FF3DDD">
              <w:rPr>
                <w:rFonts w:ascii="楷体_GB2312" w:eastAsia="楷体_GB2312" w:hAnsi="宋体" w:cs="宋体" w:hint="eastAsia"/>
                <w:color w:val="000000"/>
                <w:szCs w:val="21"/>
              </w:rPr>
              <w:t>安排经审核通过的2017第一批2699辆老旧汽车淘汰补贴资金2380.25万元；</w:t>
            </w:r>
          </w:p>
          <w:p w:rsidR="00A81CD2" w:rsidRPr="00986327" w:rsidRDefault="00A81CD2" w:rsidP="00A81CD2">
            <w:pPr>
              <w:spacing w:line="240" w:lineRule="atLeast"/>
              <w:ind w:firstLineChars="200" w:firstLine="422"/>
              <w:rPr>
                <w:rFonts w:ascii="楷体_GB2312" w:eastAsia="楷体_GB2312" w:hAnsi="宋体" w:cs="宋体"/>
                <w:color w:val="000000"/>
                <w:szCs w:val="21"/>
              </w:rPr>
            </w:pPr>
            <w:r w:rsidRPr="00BF602C">
              <w:rPr>
                <w:rFonts w:ascii="楷体_GB2312" w:eastAsia="楷体_GB2312" w:hAnsi="宋体" w:cs="宋体" w:hint="eastAsia"/>
                <w:b/>
                <w:color w:val="000000"/>
                <w:szCs w:val="21"/>
              </w:rPr>
              <w:t>合计4244.1。</w:t>
            </w:r>
          </w:p>
        </w:tc>
        <w:tc>
          <w:tcPr>
            <w:tcW w:w="2063" w:type="dxa"/>
            <w:tcBorders>
              <w:top w:val="nil"/>
              <w:left w:val="nil"/>
              <w:bottom w:val="single" w:sz="4" w:space="0" w:color="auto"/>
              <w:right w:val="single" w:sz="4" w:space="0" w:color="auto"/>
            </w:tcBorders>
            <w:noWrap/>
            <w:vAlign w:val="center"/>
          </w:tcPr>
          <w:p w:rsidR="00A81CD2" w:rsidRDefault="00A81CD2" w:rsidP="000D54D3">
            <w:pPr>
              <w:spacing w:line="240" w:lineRule="atLeast"/>
              <w:jc w:val="center"/>
              <w:rPr>
                <w:rFonts w:ascii="楷体_GB2312" w:eastAsia="楷体_GB2312" w:hAnsi="宋体" w:cs="宋体"/>
                <w:color w:val="000000"/>
                <w:szCs w:val="21"/>
              </w:rPr>
            </w:pPr>
            <w:r>
              <w:rPr>
                <w:rFonts w:ascii="楷体_GB2312" w:eastAsia="楷体_GB2312" w:hAnsi="宋体" w:cs="宋体" w:hint="eastAsia"/>
                <w:color w:val="000000"/>
                <w:szCs w:val="21"/>
              </w:rPr>
              <w:t>市环保局</w:t>
            </w:r>
          </w:p>
        </w:tc>
        <w:tc>
          <w:tcPr>
            <w:tcW w:w="4144" w:type="dxa"/>
            <w:tcBorders>
              <w:top w:val="nil"/>
              <w:left w:val="nil"/>
              <w:bottom w:val="single" w:sz="4" w:space="0" w:color="auto"/>
              <w:right w:val="single" w:sz="8" w:space="0" w:color="auto"/>
            </w:tcBorders>
            <w:noWrap/>
            <w:vAlign w:val="center"/>
          </w:tcPr>
          <w:p w:rsidR="00A81CD2" w:rsidRDefault="00A81CD2" w:rsidP="000D54D3">
            <w:pPr>
              <w:spacing w:line="240" w:lineRule="atLeast"/>
              <w:rPr>
                <w:rFonts w:ascii="楷体_GB2312" w:eastAsia="楷体_GB2312"/>
                <w:szCs w:val="21"/>
              </w:rPr>
            </w:pPr>
            <w:r>
              <w:rPr>
                <w:rFonts w:ascii="楷体_GB2312" w:eastAsia="楷体_GB2312" w:hAnsi="宋体" w:cs="宋体" w:hint="eastAsia"/>
                <w:color w:val="000000"/>
                <w:szCs w:val="21"/>
              </w:rPr>
              <w:t>《关于进一步加强黄标车和老旧车辆环保治理的实施方案》（沪府办发[2014]23号）和《关于调整本市老旧车辆提前淘汰补贴政策的通知》（</w:t>
            </w:r>
            <w:proofErr w:type="gramStart"/>
            <w:r>
              <w:rPr>
                <w:rFonts w:ascii="楷体_GB2312" w:eastAsia="楷体_GB2312" w:hAnsi="宋体" w:cs="宋体" w:hint="eastAsia"/>
                <w:color w:val="000000"/>
                <w:szCs w:val="21"/>
              </w:rPr>
              <w:t>沪交科</w:t>
            </w:r>
            <w:proofErr w:type="gramEnd"/>
            <w:r>
              <w:rPr>
                <w:rFonts w:ascii="楷体_GB2312" w:eastAsia="楷体_GB2312" w:hAnsi="宋体" w:cs="宋体" w:hint="eastAsia"/>
                <w:color w:val="000000"/>
                <w:szCs w:val="21"/>
              </w:rPr>
              <w:t>[2015]1409号）</w:t>
            </w:r>
          </w:p>
        </w:tc>
      </w:tr>
      <w:tr w:rsidR="00A81CD2" w:rsidTr="00A81CD2">
        <w:trPr>
          <w:trHeight w:val="209"/>
          <w:jc w:val="center"/>
        </w:trPr>
        <w:tc>
          <w:tcPr>
            <w:tcW w:w="1082" w:type="dxa"/>
            <w:tcBorders>
              <w:top w:val="nil"/>
              <w:left w:val="single" w:sz="8" w:space="0" w:color="auto"/>
              <w:bottom w:val="single" w:sz="4" w:space="0" w:color="auto"/>
              <w:right w:val="single" w:sz="4" w:space="0" w:color="auto"/>
            </w:tcBorders>
            <w:noWrap/>
            <w:vAlign w:val="center"/>
          </w:tcPr>
          <w:p w:rsidR="00A81CD2" w:rsidRDefault="00A81CD2" w:rsidP="000D54D3">
            <w:pPr>
              <w:spacing w:line="240" w:lineRule="atLeast"/>
              <w:jc w:val="center"/>
              <w:rPr>
                <w:rFonts w:ascii="楷体_GB2312" w:eastAsia="楷体_GB2312" w:hAnsi="宋体" w:cs="宋体" w:hint="eastAsia"/>
                <w:color w:val="000000"/>
                <w:szCs w:val="21"/>
              </w:rPr>
            </w:pPr>
            <w:r>
              <w:rPr>
                <w:rFonts w:ascii="楷体_GB2312" w:eastAsia="楷体_GB2312" w:hAnsi="宋体" w:cs="宋体" w:hint="eastAsia"/>
                <w:color w:val="000000"/>
                <w:szCs w:val="21"/>
              </w:rPr>
              <w:t>2</w:t>
            </w:r>
          </w:p>
        </w:tc>
        <w:tc>
          <w:tcPr>
            <w:tcW w:w="1626" w:type="dxa"/>
            <w:tcBorders>
              <w:top w:val="nil"/>
              <w:left w:val="nil"/>
              <w:bottom w:val="single" w:sz="4" w:space="0" w:color="auto"/>
              <w:right w:val="single" w:sz="4" w:space="0" w:color="auto"/>
            </w:tcBorders>
            <w:noWrap/>
            <w:vAlign w:val="center"/>
          </w:tcPr>
          <w:p w:rsidR="00A81CD2" w:rsidRDefault="00A81CD2" w:rsidP="000D54D3">
            <w:pPr>
              <w:spacing w:line="400" w:lineRule="exact"/>
              <w:jc w:val="center"/>
              <w:rPr>
                <w:rFonts w:ascii="楷体_GB2312" w:eastAsia="楷体_GB2312" w:hAnsi="宋体" w:cs="宋体" w:hint="eastAsia"/>
                <w:color w:val="000000"/>
                <w:szCs w:val="21"/>
              </w:rPr>
            </w:pPr>
            <w:r w:rsidRPr="00E94FBD">
              <w:rPr>
                <w:rFonts w:ascii="楷体_GB2312" w:eastAsia="楷体_GB2312" w:hAnsi="宋体" w:cs="宋体" w:hint="eastAsia"/>
                <w:color w:val="000000"/>
              </w:rPr>
              <w:t>分布式供能系统和燃气空调</w:t>
            </w:r>
          </w:p>
        </w:tc>
        <w:tc>
          <w:tcPr>
            <w:tcW w:w="1271" w:type="dxa"/>
            <w:tcBorders>
              <w:top w:val="nil"/>
              <w:left w:val="nil"/>
              <w:bottom w:val="single" w:sz="4" w:space="0" w:color="auto"/>
              <w:right w:val="single" w:sz="4" w:space="0" w:color="auto"/>
            </w:tcBorders>
            <w:vAlign w:val="center"/>
          </w:tcPr>
          <w:p w:rsidR="00A81CD2" w:rsidRPr="002D6638" w:rsidRDefault="00A81CD2" w:rsidP="000D54D3">
            <w:pPr>
              <w:spacing w:line="400" w:lineRule="exact"/>
              <w:jc w:val="center"/>
              <w:rPr>
                <w:rFonts w:ascii="楷体_GB2312" w:eastAsia="楷体_GB2312" w:hAnsi="宋体" w:cs="宋体" w:hint="eastAsia"/>
                <w:b/>
                <w:color w:val="000000"/>
              </w:rPr>
            </w:pPr>
            <w:r w:rsidRPr="002D6638">
              <w:rPr>
                <w:rFonts w:ascii="楷体_GB2312" w:eastAsia="楷体_GB2312" w:hAnsi="宋体" w:cs="宋体" w:hint="eastAsia"/>
                <w:b/>
                <w:color w:val="000000"/>
              </w:rPr>
              <w:t>277.4</w:t>
            </w:r>
          </w:p>
        </w:tc>
        <w:tc>
          <w:tcPr>
            <w:tcW w:w="4255" w:type="dxa"/>
            <w:tcBorders>
              <w:top w:val="nil"/>
              <w:left w:val="nil"/>
              <w:bottom w:val="single" w:sz="4" w:space="0" w:color="auto"/>
              <w:right w:val="single" w:sz="4" w:space="0" w:color="auto"/>
            </w:tcBorders>
            <w:noWrap/>
            <w:vAlign w:val="center"/>
          </w:tcPr>
          <w:p w:rsidR="00A81CD2" w:rsidRPr="00E94FBD" w:rsidRDefault="00A81CD2" w:rsidP="000D54D3">
            <w:pPr>
              <w:spacing w:line="400" w:lineRule="exact"/>
              <w:rPr>
                <w:rFonts w:ascii="楷体_GB2312" w:eastAsia="楷体_GB2312" w:hAnsi="宋体" w:cs="宋体" w:hint="eastAsia"/>
                <w:color w:val="000000"/>
              </w:rPr>
            </w:pPr>
            <w:r w:rsidRPr="00E94FBD">
              <w:rPr>
                <w:rFonts w:ascii="楷体_GB2312" w:eastAsia="楷体_GB2312" w:hAnsi="宋体" w:cs="宋体" w:hint="eastAsia"/>
                <w:color w:val="000000"/>
              </w:rPr>
              <w:t>安排经审核通过的天然气分布式供能系统运行补贴资金</w:t>
            </w:r>
            <w:r w:rsidRPr="001670BA">
              <w:rPr>
                <w:rFonts w:ascii="楷体_GB2312" w:eastAsia="楷体_GB2312" w:hAnsi="宋体" w:cs="宋体" w:hint="eastAsia"/>
                <w:b/>
                <w:color w:val="000000"/>
              </w:rPr>
              <w:t>277.4万元</w:t>
            </w:r>
            <w:r w:rsidRPr="00E94FBD">
              <w:rPr>
                <w:rFonts w:ascii="楷体_GB2312" w:eastAsia="楷体_GB2312" w:hAnsi="宋体" w:cs="宋体" w:hint="eastAsia"/>
                <w:color w:val="000000"/>
              </w:rPr>
              <w:t>。</w:t>
            </w:r>
          </w:p>
        </w:tc>
        <w:tc>
          <w:tcPr>
            <w:tcW w:w="2063" w:type="dxa"/>
            <w:tcBorders>
              <w:top w:val="nil"/>
              <w:left w:val="nil"/>
              <w:bottom w:val="single" w:sz="4" w:space="0" w:color="auto"/>
              <w:right w:val="single" w:sz="4" w:space="0" w:color="auto"/>
            </w:tcBorders>
            <w:noWrap/>
            <w:vAlign w:val="center"/>
          </w:tcPr>
          <w:p w:rsidR="00A81CD2" w:rsidRPr="00E94FBD" w:rsidRDefault="00A81CD2" w:rsidP="000D54D3">
            <w:pPr>
              <w:spacing w:line="400" w:lineRule="exact"/>
              <w:jc w:val="center"/>
              <w:rPr>
                <w:rFonts w:ascii="楷体_GB2312" w:eastAsia="楷体_GB2312" w:hAnsi="宋体" w:cs="宋体" w:hint="eastAsia"/>
                <w:color w:val="000000"/>
              </w:rPr>
            </w:pPr>
            <w:r>
              <w:rPr>
                <w:rFonts w:ascii="楷体_GB2312" w:eastAsia="楷体_GB2312" w:hAnsi="宋体" w:cs="宋体" w:hint="eastAsia"/>
                <w:color w:val="000000"/>
              </w:rPr>
              <w:t>市发展改革委</w:t>
            </w:r>
          </w:p>
        </w:tc>
        <w:tc>
          <w:tcPr>
            <w:tcW w:w="4144" w:type="dxa"/>
            <w:tcBorders>
              <w:top w:val="nil"/>
              <w:left w:val="nil"/>
              <w:bottom w:val="single" w:sz="4" w:space="0" w:color="auto"/>
              <w:right w:val="single" w:sz="8" w:space="0" w:color="auto"/>
            </w:tcBorders>
            <w:noWrap/>
            <w:vAlign w:val="center"/>
          </w:tcPr>
          <w:p w:rsidR="00A81CD2" w:rsidRPr="00B1136A" w:rsidRDefault="00A81CD2" w:rsidP="000D54D3">
            <w:pPr>
              <w:spacing w:line="400" w:lineRule="exact"/>
              <w:rPr>
                <w:rFonts w:ascii="楷体_GB2312" w:eastAsia="楷体_GB2312" w:hAnsi="宋体" w:cs="宋体" w:hint="eastAsia"/>
                <w:color w:val="000000"/>
                <w:spacing w:val="-10"/>
                <w:szCs w:val="21"/>
              </w:rPr>
            </w:pPr>
            <w:r w:rsidRPr="00B1136A">
              <w:rPr>
                <w:rFonts w:ascii="楷体_GB2312" w:eastAsia="楷体_GB2312" w:hAnsi="宋体" w:cs="宋体" w:hint="eastAsia"/>
                <w:color w:val="000000"/>
                <w:spacing w:val="-10"/>
                <w:szCs w:val="21"/>
              </w:rPr>
              <w:t>《上海市天然气分布式供能系统和燃气空调发展专项扶持办法》（沪府办发[2013]14号）</w:t>
            </w:r>
          </w:p>
        </w:tc>
      </w:tr>
      <w:tr w:rsidR="00A81CD2" w:rsidTr="00A81CD2">
        <w:trPr>
          <w:trHeight w:val="209"/>
          <w:jc w:val="center"/>
        </w:trPr>
        <w:tc>
          <w:tcPr>
            <w:tcW w:w="1082" w:type="dxa"/>
            <w:tcBorders>
              <w:top w:val="nil"/>
              <w:left w:val="single" w:sz="8" w:space="0" w:color="auto"/>
              <w:bottom w:val="single" w:sz="4" w:space="0" w:color="auto"/>
              <w:right w:val="single" w:sz="4" w:space="0" w:color="auto"/>
            </w:tcBorders>
            <w:noWrap/>
            <w:vAlign w:val="center"/>
          </w:tcPr>
          <w:p w:rsidR="00A81CD2" w:rsidRDefault="00A81CD2" w:rsidP="000D54D3">
            <w:pPr>
              <w:spacing w:line="240" w:lineRule="atLeast"/>
              <w:jc w:val="center"/>
              <w:rPr>
                <w:rFonts w:ascii="楷体_GB2312" w:eastAsia="楷体_GB2312" w:hAnsi="宋体" w:cs="宋体" w:hint="eastAsia"/>
                <w:color w:val="000000"/>
                <w:szCs w:val="21"/>
              </w:rPr>
            </w:pPr>
            <w:r>
              <w:rPr>
                <w:rFonts w:ascii="楷体_GB2312" w:eastAsia="楷体_GB2312" w:hAnsi="宋体" w:cs="宋体" w:hint="eastAsia"/>
                <w:color w:val="000000"/>
                <w:szCs w:val="21"/>
              </w:rPr>
              <w:t>3</w:t>
            </w:r>
          </w:p>
        </w:tc>
        <w:tc>
          <w:tcPr>
            <w:tcW w:w="1626" w:type="dxa"/>
            <w:tcBorders>
              <w:top w:val="nil"/>
              <w:left w:val="nil"/>
              <w:bottom w:val="single" w:sz="4" w:space="0" w:color="auto"/>
              <w:right w:val="single" w:sz="4" w:space="0" w:color="auto"/>
            </w:tcBorders>
            <w:noWrap/>
            <w:vAlign w:val="center"/>
          </w:tcPr>
          <w:p w:rsidR="00A81CD2" w:rsidRDefault="00A81CD2" w:rsidP="000D54D3">
            <w:pPr>
              <w:spacing w:line="240" w:lineRule="atLeast"/>
              <w:jc w:val="center"/>
              <w:rPr>
                <w:rFonts w:ascii="楷体_GB2312" w:eastAsia="楷体_GB2312" w:hAnsi="宋体" w:cs="宋体" w:hint="eastAsia"/>
                <w:color w:val="000000"/>
                <w:szCs w:val="21"/>
              </w:rPr>
            </w:pPr>
            <w:r>
              <w:rPr>
                <w:rFonts w:ascii="楷体_GB2312" w:eastAsia="楷体_GB2312" w:hAnsi="宋体" w:cs="宋体" w:hint="eastAsia"/>
                <w:color w:val="000000"/>
                <w:szCs w:val="21"/>
              </w:rPr>
              <w:t>节能能力资金</w:t>
            </w:r>
          </w:p>
        </w:tc>
        <w:tc>
          <w:tcPr>
            <w:tcW w:w="1271" w:type="dxa"/>
            <w:tcBorders>
              <w:top w:val="nil"/>
              <w:left w:val="nil"/>
              <w:bottom w:val="single" w:sz="4" w:space="0" w:color="auto"/>
              <w:right w:val="single" w:sz="4" w:space="0" w:color="auto"/>
            </w:tcBorders>
            <w:vAlign w:val="center"/>
          </w:tcPr>
          <w:p w:rsidR="00A81CD2" w:rsidRDefault="00A81CD2" w:rsidP="000D54D3">
            <w:pPr>
              <w:spacing w:line="240" w:lineRule="atLeast"/>
              <w:jc w:val="center"/>
              <w:rPr>
                <w:rFonts w:ascii="楷体_GB2312" w:eastAsia="楷体_GB2312" w:hAnsi="宋体" w:cs="宋体" w:hint="eastAsia"/>
                <w:b/>
                <w:color w:val="000000"/>
              </w:rPr>
            </w:pPr>
            <w:r>
              <w:rPr>
                <w:rFonts w:ascii="楷体_GB2312" w:eastAsia="楷体_GB2312" w:hAnsi="宋体" w:cs="宋体" w:hint="eastAsia"/>
                <w:b/>
                <w:color w:val="000000"/>
              </w:rPr>
              <w:t>696.75</w:t>
            </w:r>
          </w:p>
        </w:tc>
        <w:tc>
          <w:tcPr>
            <w:tcW w:w="4255" w:type="dxa"/>
            <w:tcBorders>
              <w:top w:val="nil"/>
              <w:left w:val="nil"/>
              <w:bottom w:val="single" w:sz="4" w:space="0" w:color="auto"/>
              <w:right w:val="single" w:sz="4" w:space="0" w:color="auto"/>
            </w:tcBorders>
            <w:noWrap/>
            <w:vAlign w:val="center"/>
          </w:tcPr>
          <w:p w:rsidR="00A81CD2" w:rsidRDefault="00A81CD2" w:rsidP="000D54D3">
            <w:pPr>
              <w:spacing w:line="240" w:lineRule="atLeast"/>
              <w:rPr>
                <w:rFonts w:ascii="楷体_GB2312" w:eastAsia="楷体_GB2312" w:hAnsi="宋体" w:cs="宋体" w:hint="eastAsia"/>
                <w:color w:val="000000"/>
                <w:szCs w:val="21"/>
              </w:rPr>
            </w:pPr>
            <w:r w:rsidRPr="006E4F18">
              <w:rPr>
                <w:rFonts w:ascii="楷体_GB2312" w:eastAsia="楷体_GB2312" w:hAnsi="宋体" w:cs="宋体" w:hint="eastAsia"/>
                <w:color w:val="000000"/>
                <w:szCs w:val="21"/>
              </w:rPr>
              <w:t>安排经审核通过的</w:t>
            </w:r>
            <w:r w:rsidRPr="009A7852">
              <w:rPr>
                <w:rFonts w:ascii="楷体_GB2312" w:eastAsia="楷体_GB2312" w:hAnsi="宋体" w:cs="宋体" w:hint="eastAsia"/>
                <w:color w:val="000000"/>
                <w:szCs w:val="21"/>
              </w:rPr>
              <w:t>2016年3个项目支持资金61.35万元，其中“上海市绿色城区评价技术导则制订”等2个结转项目经验收结余支持资金12.35万元；“建立完善循环经济相关领域全过程处置运营机制”结转项目第一笔50%支持资金49万元；</w:t>
            </w:r>
          </w:p>
          <w:p w:rsidR="00A81CD2" w:rsidRDefault="00A81CD2" w:rsidP="000D54D3">
            <w:pPr>
              <w:spacing w:line="240" w:lineRule="atLeast"/>
              <w:rPr>
                <w:rFonts w:ascii="楷体_GB2312" w:eastAsia="楷体_GB2312" w:hAnsi="宋体" w:cs="宋体" w:hint="eastAsia"/>
                <w:color w:val="000000"/>
                <w:szCs w:val="21"/>
              </w:rPr>
            </w:pPr>
            <w:r w:rsidRPr="009A7852">
              <w:rPr>
                <w:rFonts w:ascii="楷体_GB2312" w:eastAsia="楷体_GB2312" w:hAnsi="宋体" w:cs="宋体" w:hint="eastAsia"/>
                <w:color w:val="000000"/>
                <w:szCs w:val="21"/>
              </w:rPr>
              <w:t>2015年“合同能源管理项目现场审核及开展节能服务机构信用评价等工作”等21个结转项目经验收第二笔支持资金586.4万元；</w:t>
            </w:r>
          </w:p>
          <w:p w:rsidR="00A81CD2" w:rsidRPr="00B1136A" w:rsidRDefault="00A81CD2" w:rsidP="000D54D3">
            <w:pPr>
              <w:spacing w:line="240" w:lineRule="atLeast"/>
              <w:rPr>
                <w:rFonts w:ascii="楷体_GB2312" w:eastAsia="楷体_GB2312" w:hAnsi="宋体" w:cs="宋体" w:hint="eastAsia"/>
                <w:color w:val="000000"/>
                <w:spacing w:val="-8"/>
                <w:szCs w:val="21"/>
              </w:rPr>
            </w:pPr>
            <w:r w:rsidRPr="00B1136A">
              <w:rPr>
                <w:rFonts w:ascii="楷体_GB2312" w:eastAsia="楷体_GB2312" w:hAnsi="宋体" w:cs="宋体" w:hint="eastAsia"/>
                <w:color w:val="000000"/>
                <w:spacing w:val="-8"/>
                <w:szCs w:val="21"/>
              </w:rPr>
              <w:t>2014年“棉纺纱工厂节能设计技术规范”等7个结转项目经验收第二笔支持资金35万元。</w:t>
            </w:r>
          </w:p>
          <w:p w:rsidR="00A81CD2" w:rsidRDefault="00A81CD2" w:rsidP="000D54D3">
            <w:pPr>
              <w:spacing w:line="240" w:lineRule="atLeast"/>
              <w:rPr>
                <w:rFonts w:ascii="楷体_GB2312" w:eastAsia="楷体_GB2312" w:hAnsi="宋体" w:cs="宋体" w:hint="eastAsia"/>
                <w:color w:val="000000"/>
                <w:szCs w:val="21"/>
              </w:rPr>
            </w:pPr>
            <w:r w:rsidRPr="009A7852">
              <w:rPr>
                <w:rFonts w:ascii="楷体_GB2312" w:eastAsia="楷体_GB2312" w:hAnsi="宋体" w:cs="宋体" w:hint="eastAsia"/>
                <w:color w:val="000000"/>
                <w:szCs w:val="21"/>
              </w:rPr>
              <w:t>2012年“上海市低碳发展宏观战略研究”结</w:t>
            </w:r>
            <w:r w:rsidRPr="009A7852">
              <w:rPr>
                <w:rFonts w:ascii="楷体_GB2312" w:eastAsia="楷体_GB2312" w:hAnsi="宋体" w:cs="宋体" w:hint="eastAsia"/>
                <w:color w:val="000000"/>
                <w:szCs w:val="21"/>
              </w:rPr>
              <w:lastRenderedPageBreak/>
              <w:t>转项目经验收第二笔支持资金14万元；</w:t>
            </w:r>
          </w:p>
          <w:p w:rsidR="00A81CD2" w:rsidRPr="00090CB5" w:rsidRDefault="00A81CD2" w:rsidP="00A81CD2">
            <w:pPr>
              <w:spacing w:line="240" w:lineRule="atLeast"/>
              <w:ind w:firstLineChars="200" w:firstLine="422"/>
              <w:rPr>
                <w:rFonts w:ascii="楷体_GB2312" w:eastAsia="楷体_GB2312" w:hAnsi="宋体" w:cs="宋体"/>
                <w:b/>
                <w:color w:val="000000"/>
                <w:szCs w:val="21"/>
              </w:rPr>
            </w:pPr>
            <w:r w:rsidRPr="00090CB5">
              <w:rPr>
                <w:rFonts w:ascii="楷体_GB2312" w:eastAsia="楷体_GB2312" w:hAnsi="宋体" w:cs="宋体" w:hint="eastAsia"/>
                <w:b/>
                <w:color w:val="000000"/>
                <w:szCs w:val="21"/>
              </w:rPr>
              <w:t>共计696.75万元。</w:t>
            </w:r>
          </w:p>
        </w:tc>
        <w:tc>
          <w:tcPr>
            <w:tcW w:w="2063" w:type="dxa"/>
            <w:tcBorders>
              <w:top w:val="nil"/>
              <w:left w:val="nil"/>
              <w:bottom w:val="single" w:sz="4" w:space="0" w:color="auto"/>
              <w:right w:val="single" w:sz="4" w:space="0" w:color="auto"/>
            </w:tcBorders>
            <w:noWrap/>
            <w:vAlign w:val="center"/>
          </w:tcPr>
          <w:p w:rsidR="00A81CD2" w:rsidRDefault="00A81CD2" w:rsidP="000D54D3">
            <w:pPr>
              <w:spacing w:line="240" w:lineRule="atLeast"/>
              <w:jc w:val="center"/>
              <w:rPr>
                <w:rFonts w:ascii="楷体_GB2312" w:eastAsia="楷体_GB2312" w:hAnsi="宋体" w:cs="宋体" w:hint="eastAsia"/>
                <w:color w:val="000000"/>
                <w:szCs w:val="21"/>
              </w:rPr>
            </w:pPr>
            <w:r>
              <w:rPr>
                <w:rFonts w:ascii="楷体_GB2312" w:eastAsia="楷体_GB2312" w:hAnsi="宋体" w:cs="宋体" w:hint="eastAsia"/>
                <w:color w:val="000000"/>
                <w:szCs w:val="21"/>
              </w:rPr>
              <w:lastRenderedPageBreak/>
              <w:t>市发展改革委、市经济信息化委、市住房城乡建设管理委、市机管局等</w:t>
            </w:r>
          </w:p>
        </w:tc>
        <w:tc>
          <w:tcPr>
            <w:tcW w:w="4144" w:type="dxa"/>
            <w:tcBorders>
              <w:top w:val="nil"/>
              <w:left w:val="nil"/>
              <w:bottom w:val="single" w:sz="4" w:space="0" w:color="auto"/>
              <w:right w:val="single" w:sz="8" w:space="0" w:color="auto"/>
            </w:tcBorders>
            <w:noWrap/>
            <w:vAlign w:val="center"/>
          </w:tcPr>
          <w:p w:rsidR="00A81CD2" w:rsidRPr="008A1DB4" w:rsidRDefault="00A81CD2" w:rsidP="000D54D3">
            <w:pPr>
              <w:spacing w:line="240" w:lineRule="atLeast"/>
              <w:rPr>
                <w:rFonts w:ascii="楷体_GB2312" w:eastAsia="楷体_GB2312" w:hAnsi="宋体" w:cs="宋体"/>
                <w:color w:val="000000"/>
                <w:szCs w:val="21"/>
              </w:rPr>
            </w:pPr>
            <w:r w:rsidRPr="0071050A">
              <w:rPr>
                <w:rFonts w:ascii="楷体_GB2312" w:eastAsia="楷体_GB2312" w:hAnsi="宋体" w:cs="宋体" w:hint="eastAsia"/>
                <w:color w:val="000000"/>
                <w:szCs w:val="21"/>
              </w:rPr>
              <w:t>《上海市节能降耗和应对气候变化基础工作及能力建设资金使用管理办法》（</w:t>
            </w:r>
            <w:proofErr w:type="gramStart"/>
            <w:r w:rsidRPr="0071050A">
              <w:rPr>
                <w:rFonts w:ascii="楷体_GB2312" w:eastAsia="楷体_GB2312" w:hAnsi="宋体" w:cs="宋体" w:hint="eastAsia"/>
                <w:color w:val="000000"/>
                <w:szCs w:val="21"/>
              </w:rPr>
              <w:t>沪发改环</w:t>
            </w:r>
            <w:proofErr w:type="gramEnd"/>
            <w:r w:rsidRPr="0071050A">
              <w:rPr>
                <w:rFonts w:ascii="楷体_GB2312" w:eastAsia="楷体_GB2312" w:hAnsi="宋体" w:cs="宋体" w:hint="eastAsia"/>
                <w:color w:val="000000"/>
                <w:szCs w:val="21"/>
              </w:rPr>
              <w:t>资[2011]73号）</w:t>
            </w:r>
          </w:p>
        </w:tc>
      </w:tr>
      <w:tr w:rsidR="00A81CD2" w:rsidTr="00A81CD2">
        <w:trPr>
          <w:trHeight w:val="198"/>
          <w:jc w:val="center"/>
        </w:trPr>
        <w:tc>
          <w:tcPr>
            <w:tcW w:w="1082" w:type="dxa"/>
            <w:tcBorders>
              <w:top w:val="nil"/>
              <w:left w:val="single" w:sz="8" w:space="0" w:color="auto"/>
              <w:bottom w:val="single" w:sz="8" w:space="0" w:color="auto"/>
              <w:right w:val="single" w:sz="4" w:space="0" w:color="auto"/>
            </w:tcBorders>
            <w:noWrap/>
            <w:vAlign w:val="center"/>
          </w:tcPr>
          <w:p w:rsidR="00A81CD2" w:rsidRDefault="00A81CD2" w:rsidP="000D54D3">
            <w:pPr>
              <w:spacing w:line="240" w:lineRule="atLeast"/>
              <w:jc w:val="center"/>
              <w:rPr>
                <w:rFonts w:ascii="楷体_GB2312" w:eastAsia="楷体_GB2312" w:hAnsi="宋体" w:cs="宋体"/>
                <w:b/>
                <w:color w:val="000000"/>
              </w:rPr>
            </w:pPr>
          </w:p>
        </w:tc>
        <w:tc>
          <w:tcPr>
            <w:tcW w:w="1626" w:type="dxa"/>
            <w:tcBorders>
              <w:top w:val="nil"/>
              <w:left w:val="nil"/>
              <w:bottom w:val="single" w:sz="8" w:space="0" w:color="auto"/>
              <w:right w:val="single" w:sz="4" w:space="0" w:color="auto"/>
            </w:tcBorders>
            <w:noWrap/>
            <w:vAlign w:val="center"/>
          </w:tcPr>
          <w:p w:rsidR="00A81CD2" w:rsidRPr="007C0304" w:rsidRDefault="00A81CD2" w:rsidP="000D54D3">
            <w:pPr>
              <w:spacing w:line="240" w:lineRule="atLeast"/>
              <w:jc w:val="center"/>
              <w:rPr>
                <w:rFonts w:ascii="楷体_GB2312" w:eastAsia="楷体_GB2312" w:hAnsi="宋体" w:cs="宋体"/>
                <w:b/>
                <w:color w:val="000000"/>
                <w:szCs w:val="21"/>
              </w:rPr>
            </w:pPr>
            <w:r w:rsidRPr="007C0304">
              <w:rPr>
                <w:rFonts w:ascii="楷体_GB2312" w:eastAsia="楷体_GB2312" w:hAnsi="宋体" w:cs="宋体" w:hint="eastAsia"/>
                <w:b/>
                <w:color w:val="000000"/>
                <w:szCs w:val="21"/>
              </w:rPr>
              <w:t>合计</w:t>
            </w:r>
          </w:p>
        </w:tc>
        <w:tc>
          <w:tcPr>
            <w:tcW w:w="1271" w:type="dxa"/>
            <w:tcBorders>
              <w:top w:val="nil"/>
              <w:left w:val="nil"/>
              <w:bottom w:val="single" w:sz="8" w:space="0" w:color="auto"/>
              <w:right w:val="single" w:sz="4" w:space="0" w:color="auto"/>
            </w:tcBorders>
            <w:noWrap/>
            <w:vAlign w:val="center"/>
          </w:tcPr>
          <w:p w:rsidR="00A81CD2" w:rsidRPr="00575778" w:rsidRDefault="00A81CD2" w:rsidP="000D54D3">
            <w:pPr>
              <w:jc w:val="center"/>
              <w:rPr>
                <w:rFonts w:ascii="楷体_GB2312" w:eastAsia="楷体_GB2312" w:hAnsi="宋体" w:cs="宋体" w:hint="eastAsia"/>
                <w:b/>
                <w:bCs/>
                <w:color w:val="000000"/>
                <w:szCs w:val="21"/>
              </w:rPr>
            </w:pPr>
            <w:r>
              <w:rPr>
                <w:rFonts w:ascii="楷体_GB2312" w:eastAsia="楷体_GB2312" w:hint="eastAsia"/>
                <w:b/>
                <w:bCs/>
                <w:color w:val="000000"/>
                <w:szCs w:val="21"/>
              </w:rPr>
              <w:t>5218.25</w:t>
            </w:r>
          </w:p>
        </w:tc>
        <w:tc>
          <w:tcPr>
            <w:tcW w:w="4255" w:type="dxa"/>
            <w:tcBorders>
              <w:top w:val="nil"/>
              <w:left w:val="nil"/>
              <w:bottom w:val="single" w:sz="8" w:space="0" w:color="auto"/>
              <w:right w:val="single" w:sz="4" w:space="0" w:color="auto"/>
            </w:tcBorders>
            <w:noWrap/>
            <w:vAlign w:val="center"/>
          </w:tcPr>
          <w:p w:rsidR="00A81CD2" w:rsidRPr="00A90C63" w:rsidRDefault="00A81CD2" w:rsidP="000D54D3">
            <w:pPr>
              <w:spacing w:line="240" w:lineRule="atLeast"/>
              <w:rPr>
                <w:rFonts w:ascii="楷体_GB2312" w:eastAsia="楷体_GB2312" w:hAnsi="宋体" w:cs="宋体"/>
                <w:color w:val="000000"/>
                <w:szCs w:val="21"/>
              </w:rPr>
            </w:pPr>
          </w:p>
        </w:tc>
        <w:tc>
          <w:tcPr>
            <w:tcW w:w="2063" w:type="dxa"/>
            <w:tcBorders>
              <w:top w:val="nil"/>
              <w:left w:val="nil"/>
              <w:bottom w:val="single" w:sz="8" w:space="0" w:color="auto"/>
              <w:right w:val="single" w:sz="4" w:space="0" w:color="auto"/>
            </w:tcBorders>
            <w:noWrap/>
            <w:vAlign w:val="center"/>
          </w:tcPr>
          <w:p w:rsidR="00A81CD2" w:rsidRPr="00EB4410" w:rsidRDefault="00A81CD2" w:rsidP="000D54D3">
            <w:pPr>
              <w:spacing w:line="240" w:lineRule="atLeast"/>
              <w:rPr>
                <w:rFonts w:ascii="楷体_GB2312" w:eastAsia="楷体_GB2312" w:hAnsi="宋体" w:cs="宋体"/>
                <w:color w:val="000000"/>
                <w:szCs w:val="21"/>
              </w:rPr>
            </w:pPr>
          </w:p>
        </w:tc>
        <w:tc>
          <w:tcPr>
            <w:tcW w:w="4144" w:type="dxa"/>
            <w:tcBorders>
              <w:top w:val="nil"/>
              <w:left w:val="nil"/>
              <w:bottom w:val="single" w:sz="8" w:space="0" w:color="auto"/>
              <w:right w:val="single" w:sz="8" w:space="0" w:color="auto"/>
            </w:tcBorders>
            <w:noWrap/>
            <w:vAlign w:val="center"/>
          </w:tcPr>
          <w:p w:rsidR="00A81CD2" w:rsidRDefault="00A81CD2" w:rsidP="000D54D3">
            <w:pPr>
              <w:spacing w:line="240" w:lineRule="atLeast"/>
              <w:rPr>
                <w:rFonts w:ascii="楷体_GB2312" w:eastAsia="楷体_GB2312" w:hAnsi="宋体" w:cs="宋体"/>
                <w:b/>
                <w:color w:val="000000"/>
              </w:rPr>
            </w:pPr>
          </w:p>
        </w:tc>
      </w:tr>
    </w:tbl>
    <w:p w:rsidR="00D2703F" w:rsidRDefault="00D2703F"/>
    <w:sectPr w:rsidR="00D2703F" w:rsidSect="00A81CD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1CD2"/>
    <w:rsid w:val="00A81CD2"/>
    <w:rsid w:val="00D270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CD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Words>
  <Characters>646</Characters>
  <Application>Microsoft Office Word</Application>
  <DocSecurity>0</DocSecurity>
  <Lines>5</Lines>
  <Paragraphs>1</Paragraphs>
  <ScaleCrop>false</ScaleCrop>
  <Company>BB</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X053TaoYu</dc:creator>
  <cp:keywords/>
  <dc:description/>
  <cp:lastModifiedBy>X053TaoYu</cp:lastModifiedBy>
  <cp:revision>1</cp:revision>
  <dcterms:created xsi:type="dcterms:W3CDTF">2017-03-10T02:48:00Z</dcterms:created>
  <dcterms:modified xsi:type="dcterms:W3CDTF">2017-03-10T02:50:00Z</dcterms:modified>
</cp:coreProperties>
</file>