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C8F" w:rsidRDefault="00CB5C8F" w:rsidP="00CB5C8F">
      <w:pPr>
        <w:contextualSpacing/>
        <w:jc w:val="center"/>
        <w:rPr>
          <w:b/>
          <w:u w:val="single"/>
        </w:rPr>
      </w:pPr>
      <w:r>
        <w:rPr>
          <w:b/>
          <w:u w:val="single"/>
        </w:rPr>
        <w:t>Fundamentals of US Natural Gas and LNG Exports</w:t>
      </w:r>
    </w:p>
    <w:p w:rsidR="009F2DFD" w:rsidRPr="009F2DFD" w:rsidRDefault="009F2DFD" w:rsidP="009F2DFD">
      <w:pPr>
        <w:contextualSpacing/>
        <w:rPr>
          <w:b/>
          <w:u w:val="single"/>
        </w:rPr>
      </w:pPr>
      <w:r>
        <w:rPr>
          <w:b/>
          <w:u w:val="single"/>
        </w:rPr>
        <w:t>Overview:</w:t>
      </w:r>
    </w:p>
    <w:p w:rsidR="009F2DFD" w:rsidRDefault="009F2DFD" w:rsidP="009F2DFD">
      <w:pPr>
        <w:pStyle w:val="ListParagraph"/>
        <w:numPr>
          <w:ilvl w:val="0"/>
          <w:numId w:val="1"/>
        </w:numPr>
        <w:contextualSpacing/>
      </w:pPr>
      <w:r>
        <w:t xml:space="preserve">The United States has a huge </w:t>
      </w:r>
      <w:r w:rsidR="006D6ADF">
        <w:t xml:space="preserve">natural gas </w:t>
      </w:r>
      <w:r>
        <w:t>resource base and ample supply</w:t>
      </w:r>
      <w:r w:rsidR="006D6ADF">
        <w:t xml:space="preserve">. </w:t>
      </w:r>
      <w:r w:rsidR="006D6ADF" w:rsidRPr="00CE6264">
        <w:t>Reserves and production of gas in the U.S. have increased over the past few years with supply growth outpacing demand growth</w:t>
      </w:r>
      <w:r w:rsidR="00557CF0">
        <w:t>.</w:t>
      </w:r>
    </w:p>
    <w:p w:rsidR="009F2DFD" w:rsidRDefault="006D6ADF" w:rsidP="009F2DFD">
      <w:pPr>
        <w:pStyle w:val="ListParagraph"/>
        <w:numPr>
          <w:ilvl w:val="0"/>
          <w:numId w:val="1"/>
        </w:numPr>
        <w:contextualSpacing/>
      </w:pPr>
      <w:r>
        <w:t>The United States is a source of abundant, low cost natural gas thanks to horizontal drilling and hydraulic fracturing</w:t>
      </w:r>
      <w:r w:rsidR="00557CF0">
        <w:t>.</w:t>
      </w:r>
    </w:p>
    <w:p w:rsidR="006D6ADF" w:rsidRDefault="006D6ADF" w:rsidP="009F2DFD">
      <w:pPr>
        <w:pStyle w:val="ListParagraph"/>
        <w:numPr>
          <w:ilvl w:val="0"/>
          <w:numId w:val="1"/>
        </w:numPr>
        <w:contextualSpacing/>
      </w:pPr>
      <w:r>
        <w:t xml:space="preserve">Henry Hub linked LNG will represent a significant portion of the </w:t>
      </w:r>
      <w:r w:rsidR="00A37C5E">
        <w:t xml:space="preserve">LNG </w:t>
      </w:r>
      <w:r>
        <w:t xml:space="preserve">supply pool </w:t>
      </w:r>
      <w:r w:rsidR="00A37C5E">
        <w:t xml:space="preserve">globally and </w:t>
      </w:r>
      <w:r w:rsidR="00045D26">
        <w:t xml:space="preserve">almost </w:t>
      </w:r>
      <w:r w:rsidR="00A37C5E">
        <w:t>half of the LNG supply capacity into the Atlantic</w:t>
      </w:r>
      <w:r w:rsidR="0051313C">
        <w:t xml:space="preserve"> B</w:t>
      </w:r>
      <w:r w:rsidR="00A37C5E">
        <w:t xml:space="preserve">asin </w:t>
      </w:r>
      <w:r>
        <w:t>by 2020</w:t>
      </w:r>
      <w:r w:rsidR="00557CF0">
        <w:t>.</w:t>
      </w:r>
    </w:p>
    <w:p w:rsidR="006D6ADF" w:rsidRDefault="006D6ADF" w:rsidP="009F2DFD">
      <w:pPr>
        <w:pStyle w:val="ListParagraph"/>
        <w:numPr>
          <w:ilvl w:val="0"/>
          <w:numId w:val="1"/>
        </w:numPr>
        <w:contextualSpacing/>
      </w:pPr>
      <w:r>
        <w:t xml:space="preserve">The benefits of Henry Hub linked LNG include increased stability, diversification and flexibility compared to </w:t>
      </w:r>
      <w:r w:rsidR="00A37C5E">
        <w:t>oil</w:t>
      </w:r>
      <w:r>
        <w:t xml:space="preserve"> linked LNG.</w:t>
      </w:r>
    </w:p>
    <w:p w:rsidR="00950158" w:rsidRDefault="00950158" w:rsidP="006D6ADF">
      <w:pPr>
        <w:contextualSpacing/>
        <w:rPr>
          <w:b/>
          <w:u w:val="single"/>
        </w:rPr>
      </w:pPr>
    </w:p>
    <w:p w:rsidR="006D6ADF" w:rsidRPr="006D6ADF" w:rsidRDefault="006D6ADF" w:rsidP="006D6ADF">
      <w:pPr>
        <w:contextualSpacing/>
        <w:rPr>
          <w:b/>
          <w:u w:val="single"/>
        </w:rPr>
      </w:pPr>
      <w:r>
        <w:rPr>
          <w:b/>
          <w:u w:val="single"/>
        </w:rPr>
        <w:t>Detail</w:t>
      </w:r>
      <w:r w:rsidRPr="006D6ADF">
        <w:rPr>
          <w:b/>
          <w:u w:val="single"/>
        </w:rPr>
        <w:t>:</w:t>
      </w:r>
    </w:p>
    <w:p w:rsidR="00CB5C8F" w:rsidRPr="00CE6264" w:rsidRDefault="00CB5C8F" w:rsidP="009F2DFD">
      <w:pPr>
        <w:pStyle w:val="ListParagraph"/>
        <w:numPr>
          <w:ilvl w:val="0"/>
          <w:numId w:val="3"/>
        </w:numPr>
        <w:spacing w:after="200" w:line="276" w:lineRule="auto"/>
        <w:contextualSpacing/>
      </w:pPr>
      <w:r w:rsidRPr="00CE6264">
        <w:t>US has a huge resource base and ample supply: Reserves and production of oil and gas in the U.S. have increased over the past few years with supply growth outpacing demand growth</w:t>
      </w:r>
    </w:p>
    <w:p w:rsidR="00CB5C8F" w:rsidRPr="00CE6264" w:rsidRDefault="00CB5C8F" w:rsidP="009F2DFD">
      <w:pPr>
        <w:pStyle w:val="ListParagraph"/>
        <w:numPr>
          <w:ilvl w:val="1"/>
          <w:numId w:val="3"/>
        </w:numPr>
        <w:spacing w:after="200" w:line="276" w:lineRule="auto"/>
        <w:ind w:left="720"/>
        <w:contextualSpacing/>
      </w:pPr>
      <w:r w:rsidRPr="00CE6264">
        <w:t xml:space="preserve">US natural gas production has increased to all-time record highs for five consecutive years. </w:t>
      </w:r>
      <w:r>
        <w:br/>
      </w:r>
      <w:hyperlink r:id="rId8" w:history="1">
        <w:r w:rsidR="009F2DFD" w:rsidRPr="007519FE">
          <w:rPr>
            <w:rStyle w:val="Hyperlink"/>
          </w:rPr>
          <w:t>http://www.eia.gov/dnav/ng/hist/n9050us2a.htm</w:t>
        </w:r>
      </w:hyperlink>
      <w:r w:rsidR="009F2DFD">
        <w:t xml:space="preserve"> </w:t>
      </w:r>
    </w:p>
    <w:p w:rsidR="00CB5C8F" w:rsidRPr="00CE6264" w:rsidRDefault="00CB5C8F" w:rsidP="00CB5C8F">
      <w:pPr>
        <w:contextualSpacing/>
        <w:jc w:val="center"/>
        <w:rPr>
          <w:b/>
        </w:rPr>
      </w:pPr>
      <w:r w:rsidRPr="00CE6264">
        <w:rPr>
          <w:b/>
        </w:rPr>
        <w:t>U.S. Natural Gas Marketed Production</w:t>
      </w:r>
    </w:p>
    <w:p w:rsidR="00CB5C8F" w:rsidRDefault="00CB5C8F" w:rsidP="00CB5C8F">
      <w:pPr>
        <w:contextualSpacing/>
        <w:jc w:val="center"/>
      </w:pPr>
      <w:r w:rsidRPr="00CE6264">
        <w:rPr>
          <w:noProof/>
        </w:rPr>
        <w:drawing>
          <wp:inline distT="0" distB="0" distL="0" distR="0" wp14:anchorId="6997031A" wp14:editId="615EE040">
            <wp:extent cx="5943600" cy="1893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893570"/>
                    </a:xfrm>
                    <a:prstGeom prst="rect">
                      <a:avLst/>
                    </a:prstGeom>
                  </pic:spPr>
                </pic:pic>
              </a:graphicData>
            </a:graphic>
          </wp:inline>
        </w:drawing>
      </w:r>
    </w:p>
    <w:p w:rsidR="00CB5C8F" w:rsidRDefault="00557CF0" w:rsidP="000204B7">
      <w:pPr>
        <w:ind w:left="360"/>
        <w:contextualSpacing/>
      </w:pPr>
      <w:r>
        <w:rPr>
          <w:noProof/>
        </w:rPr>
        <w:drawing>
          <wp:anchor distT="0" distB="0" distL="114300" distR="114300" simplePos="0" relativeHeight="251664384" behindDoc="1" locked="0" layoutInCell="1" allowOverlap="1" wp14:anchorId="72919701" wp14:editId="565AFF9E">
            <wp:simplePos x="0" y="0"/>
            <wp:positionH relativeFrom="column">
              <wp:posOffset>428625</wp:posOffset>
            </wp:positionH>
            <wp:positionV relativeFrom="paragraph">
              <wp:posOffset>200660</wp:posOffset>
            </wp:positionV>
            <wp:extent cx="4991100" cy="2575560"/>
            <wp:effectExtent l="0" t="0" r="0" b="0"/>
            <wp:wrapTight wrapText="bothSides">
              <wp:wrapPolygon edited="0">
                <wp:start x="0" y="0"/>
                <wp:lineTo x="0" y="21408"/>
                <wp:lineTo x="21518" y="21408"/>
                <wp:lineTo x="215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991100" cy="2575560"/>
                    </a:xfrm>
                    <a:prstGeom prst="rect">
                      <a:avLst/>
                    </a:prstGeom>
                  </pic:spPr>
                </pic:pic>
              </a:graphicData>
            </a:graphic>
            <wp14:sizeRelH relativeFrom="page">
              <wp14:pctWidth>0</wp14:pctWidth>
            </wp14:sizeRelH>
            <wp14:sizeRelV relativeFrom="page">
              <wp14:pctHeight>0</wp14:pctHeight>
            </wp14:sizeRelV>
          </wp:anchor>
        </w:drawing>
      </w:r>
      <w:r w:rsidR="00CB5C8F" w:rsidRPr="00CE6264">
        <w:t xml:space="preserve">and </w:t>
      </w:r>
      <w:hyperlink r:id="rId11" w:history="1">
        <w:r w:rsidR="009F2DFD" w:rsidRPr="007519FE">
          <w:rPr>
            <w:rStyle w:val="Hyperlink"/>
          </w:rPr>
          <w:t>https://www.eia.gov/todayinenergy/detail.cfm?id=26112</w:t>
        </w:r>
      </w:hyperlink>
      <w:r w:rsidR="009F2DFD">
        <w:t xml:space="preserve"> </w:t>
      </w:r>
    </w:p>
    <w:p w:rsidR="00CB5C8F" w:rsidRPr="00CE6264" w:rsidRDefault="00CB5C8F" w:rsidP="00CB5C8F">
      <w:pPr>
        <w:contextualSpacing/>
        <w:jc w:val="center"/>
      </w:pPr>
    </w:p>
    <w:p w:rsidR="00CB5C8F" w:rsidRDefault="00CB5C8F" w:rsidP="009F2DFD">
      <w:pPr>
        <w:pStyle w:val="ListParagraph"/>
        <w:numPr>
          <w:ilvl w:val="1"/>
          <w:numId w:val="3"/>
        </w:numPr>
        <w:spacing w:after="200" w:line="276" w:lineRule="auto"/>
        <w:ind w:left="810"/>
        <w:contextualSpacing/>
      </w:pPr>
      <w:r w:rsidRPr="00CE6264">
        <w:lastRenderedPageBreak/>
        <w:t>Net gas imports in 2015 at lowest level since 1986.</w:t>
      </w:r>
      <w:r>
        <w:t xml:space="preserve"> </w:t>
      </w:r>
      <w:hyperlink r:id="rId12" w:history="1">
        <w:r w:rsidR="009F2DFD" w:rsidRPr="007519FE">
          <w:rPr>
            <w:rStyle w:val="Hyperlink"/>
          </w:rPr>
          <w:t>http://www.eia.gov/todayinenergy/detail.cfm?id=26032</w:t>
        </w:r>
      </w:hyperlink>
      <w:r w:rsidRPr="00CE6264">
        <w:t xml:space="preserve"> </w:t>
      </w:r>
      <w:r w:rsidR="009F2DFD">
        <w:rPr>
          <w:noProof/>
        </w:rPr>
        <w:drawing>
          <wp:inline distT="0" distB="0" distL="0" distR="0" wp14:anchorId="15411DFF" wp14:editId="7E28835E">
            <wp:extent cx="4960620" cy="2537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60620" cy="2537460"/>
                    </a:xfrm>
                    <a:prstGeom prst="rect">
                      <a:avLst/>
                    </a:prstGeom>
                  </pic:spPr>
                </pic:pic>
              </a:graphicData>
            </a:graphic>
          </wp:inline>
        </w:drawing>
      </w:r>
    </w:p>
    <w:p w:rsidR="00557CF0" w:rsidRDefault="00557CF0" w:rsidP="00557CF0">
      <w:pPr>
        <w:pStyle w:val="ListParagraph"/>
        <w:spacing w:after="200" w:line="276" w:lineRule="auto"/>
        <w:ind w:left="810"/>
        <w:contextualSpacing/>
      </w:pPr>
    </w:p>
    <w:p w:rsidR="00CB5C8F" w:rsidRDefault="00CB5C8F" w:rsidP="009F2DFD">
      <w:pPr>
        <w:pStyle w:val="ListParagraph"/>
        <w:numPr>
          <w:ilvl w:val="1"/>
          <w:numId w:val="3"/>
        </w:numPr>
        <w:tabs>
          <w:tab w:val="left" w:pos="810"/>
        </w:tabs>
        <w:spacing w:after="200" w:line="276" w:lineRule="auto"/>
        <w:ind w:left="810"/>
        <w:contextualSpacing/>
      </w:pPr>
      <w:r w:rsidRPr="00CE6264">
        <w:t xml:space="preserve">EIA: LT US gas production to grow 1.4% per annum, nearly 3X pace of US demand growth (0.5%) through 2040. </w:t>
      </w:r>
      <w:hyperlink r:id="rId14" w:history="1">
        <w:r w:rsidRPr="007519FE">
          <w:rPr>
            <w:rStyle w:val="Hyperlink"/>
          </w:rPr>
          <w:t>http://www.eia.gov/forecasts/aeo/pdf/0383(2015).pdf</w:t>
        </w:r>
      </w:hyperlink>
    </w:p>
    <w:p w:rsidR="009F2DFD" w:rsidRDefault="00CB5C8F" w:rsidP="00CB5C8F">
      <w:pPr>
        <w:contextualSpacing/>
        <w:jc w:val="center"/>
      </w:pPr>
      <w:r>
        <w:rPr>
          <w:noProof/>
        </w:rPr>
        <w:drawing>
          <wp:inline distT="0" distB="0" distL="0" distR="0" wp14:anchorId="7344B524" wp14:editId="2DE619FE">
            <wp:extent cx="5271676" cy="31242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2086" cy="3124443"/>
                    </a:xfrm>
                    <a:prstGeom prst="rect">
                      <a:avLst/>
                    </a:prstGeom>
                    <a:noFill/>
                    <a:ln>
                      <a:noFill/>
                    </a:ln>
                  </pic:spPr>
                </pic:pic>
              </a:graphicData>
            </a:graphic>
          </wp:inline>
        </w:drawing>
      </w:r>
    </w:p>
    <w:p w:rsidR="009F2DFD" w:rsidRDefault="009F2DFD">
      <w:r>
        <w:br w:type="page"/>
      </w:r>
    </w:p>
    <w:p w:rsidR="00CB5C8F" w:rsidRDefault="00CB5C8F" w:rsidP="009F2DFD">
      <w:pPr>
        <w:pStyle w:val="ListParagraph"/>
        <w:numPr>
          <w:ilvl w:val="1"/>
          <w:numId w:val="3"/>
        </w:numPr>
        <w:spacing w:after="200" w:line="276" w:lineRule="auto"/>
        <w:ind w:left="810"/>
        <w:contextualSpacing/>
      </w:pPr>
      <w:r w:rsidRPr="00CE6264">
        <w:lastRenderedPageBreak/>
        <w:t>Potential Gas Committee: 2,853 TC</w:t>
      </w:r>
      <w:r w:rsidR="002A6E58">
        <w:t xml:space="preserve">    </w:t>
      </w:r>
      <w:bookmarkStart w:id="0" w:name="_GoBack"/>
      <w:bookmarkEnd w:id="0"/>
      <w:r w:rsidRPr="00CE6264">
        <w:t xml:space="preserve">F of future recoverable US natural gas. </w:t>
      </w:r>
      <w:hyperlink r:id="rId16" w:history="1">
        <w:r w:rsidR="009F2DFD" w:rsidRPr="007519FE">
          <w:rPr>
            <w:rStyle w:val="Hyperlink"/>
          </w:rPr>
          <w:t>http://potentialgas.org/</w:t>
        </w:r>
      </w:hyperlink>
      <w:r w:rsidR="009F2DFD">
        <w:t xml:space="preserve"> </w:t>
      </w:r>
      <w:r>
        <w:t xml:space="preserve">and </w:t>
      </w:r>
      <w:hyperlink r:id="rId17" w:history="1">
        <w:r w:rsidRPr="007519FE">
          <w:rPr>
            <w:rStyle w:val="Hyperlink"/>
          </w:rPr>
          <w:t>http://anga.us/media/press/9560DB3C-5056-9F69-D44B532072C51F75/files/ANGA%20-%20Carpe%20Diem%20-%20LNG%20Exports.pdf</w:t>
        </w:r>
      </w:hyperlink>
    </w:p>
    <w:p w:rsidR="009C4F14" w:rsidRDefault="00CB5C8F" w:rsidP="00CB5C8F">
      <w:pPr>
        <w:contextualSpacing/>
        <w:jc w:val="center"/>
      </w:pPr>
      <w:r>
        <w:rPr>
          <w:noProof/>
        </w:rPr>
        <w:drawing>
          <wp:inline distT="0" distB="0" distL="0" distR="0" wp14:anchorId="6F7FFF1C" wp14:editId="1C6ACD36">
            <wp:extent cx="5943600" cy="36715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671570"/>
                    </a:xfrm>
                    <a:prstGeom prst="rect">
                      <a:avLst/>
                    </a:prstGeom>
                  </pic:spPr>
                </pic:pic>
              </a:graphicData>
            </a:graphic>
          </wp:inline>
        </w:drawing>
      </w:r>
    </w:p>
    <w:p w:rsidR="009C4F14" w:rsidRDefault="009C4F14">
      <w:r>
        <w:br w:type="page"/>
      </w:r>
    </w:p>
    <w:p w:rsidR="00CB5C8F" w:rsidRPr="00CE6264" w:rsidRDefault="00CB5C8F" w:rsidP="009F2DFD">
      <w:pPr>
        <w:pStyle w:val="ListParagraph"/>
        <w:numPr>
          <w:ilvl w:val="0"/>
          <w:numId w:val="3"/>
        </w:numPr>
        <w:spacing w:after="200" w:line="276" w:lineRule="auto"/>
        <w:ind w:left="450" w:hanging="450"/>
        <w:contextualSpacing/>
      </w:pPr>
      <w:r w:rsidRPr="00CE6264">
        <w:lastRenderedPageBreak/>
        <w:t>Cheap resources and stable prices: Hydraulic fracturing and horizontal drilling techniques enabled the safe extraction of gas resources at low costs</w:t>
      </w:r>
    </w:p>
    <w:p w:rsidR="00C73410" w:rsidRDefault="00CB5C8F" w:rsidP="00C73410">
      <w:pPr>
        <w:pStyle w:val="ListParagraph"/>
        <w:numPr>
          <w:ilvl w:val="1"/>
          <w:numId w:val="3"/>
        </w:numPr>
        <w:spacing w:after="200" w:line="276" w:lineRule="auto"/>
        <w:ind w:left="900" w:hanging="450"/>
        <w:contextualSpacing/>
      </w:pPr>
      <w:r w:rsidRPr="00CE6264">
        <w:t>Henry Hub prices nose dive as supply surges</w:t>
      </w:r>
    </w:p>
    <w:p w:rsidR="00C73410" w:rsidRDefault="00FE27A4" w:rsidP="00C73410">
      <w:pPr>
        <w:pStyle w:val="ListParagraph"/>
        <w:spacing w:after="200" w:line="276" w:lineRule="auto"/>
        <w:ind w:left="900"/>
        <w:contextualSpacing/>
      </w:pPr>
      <w:hyperlink r:id="rId19" w:history="1">
        <w:r w:rsidR="00C73410" w:rsidRPr="00DB3CD2">
          <w:rPr>
            <w:rStyle w:val="Hyperlink"/>
          </w:rPr>
          <w:t>https://www.eia.gov/dnav/ng/hist/rngwhhdA.htm</w:t>
        </w:r>
      </w:hyperlink>
    </w:p>
    <w:p w:rsidR="00C73410" w:rsidRDefault="00C73410" w:rsidP="009C4F14">
      <w:pPr>
        <w:pStyle w:val="ListParagraph"/>
        <w:tabs>
          <w:tab w:val="left" w:pos="0"/>
        </w:tabs>
        <w:spacing w:after="200" w:line="276" w:lineRule="auto"/>
        <w:ind w:left="0" w:hanging="180"/>
        <w:contextualSpacing/>
      </w:pPr>
      <w:r>
        <w:rPr>
          <w:noProof/>
        </w:rPr>
        <w:drawing>
          <wp:inline distT="0" distB="0" distL="0" distR="0" wp14:anchorId="72E1771C" wp14:editId="6A499FDA">
            <wp:extent cx="5305425" cy="24479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73410" w:rsidRDefault="00C73410" w:rsidP="00C73410">
      <w:pPr>
        <w:ind w:left="360"/>
        <w:contextualSpacing/>
      </w:pPr>
      <w:r>
        <w:rPr>
          <w:noProof/>
        </w:rPr>
        <w:drawing>
          <wp:anchor distT="0" distB="0" distL="114300" distR="114300" simplePos="0" relativeHeight="251666432" behindDoc="1" locked="0" layoutInCell="1" allowOverlap="1" wp14:anchorId="68525E84" wp14:editId="3B00E77D">
            <wp:simplePos x="0" y="0"/>
            <wp:positionH relativeFrom="column">
              <wp:posOffset>428625</wp:posOffset>
            </wp:positionH>
            <wp:positionV relativeFrom="paragraph">
              <wp:posOffset>200660</wp:posOffset>
            </wp:positionV>
            <wp:extent cx="4991100" cy="2575560"/>
            <wp:effectExtent l="0" t="0" r="0" b="0"/>
            <wp:wrapTight wrapText="bothSides">
              <wp:wrapPolygon edited="0">
                <wp:start x="0" y="0"/>
                <wp:lineTo x="0" y="21408"/>
                <wp:lineTo x="21518" y="21408"/>
                <wp:lineTo x="215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991100" cy="2575560"/>
                    </a:xfrm>
                    <a:prstGeom prst="rect">
                      <a:avLst/>
                    </a:prstGeom>
                  </pic:spPr>
                </pic:pic>
              </a:graphicData>
            </a:graphic>
            <wp14:sizeRelH relativeFrom="page">
              <wp14:pctWidth>0</wp14:pctWidth>
            </wp14:sizeRelH>
            <wp14:sizeRelV relativeFrom="page">
              <wp14:pctHeight>0</wp14:pctHeight>
            </wp14:sizeRelV>
          </wp:anchor>
        </w:drawing>
      </w:r>
      <w:r w:rsidRPr="00CE6264">
        <w:t xml:space="preserve">and </w:t>
      </w:r>
      <w:hyperlink r:id="rId21" w:history="1">
        <w:r w:rsidRPr="007519FE">
          <w:rPr>
            <w:rStyle w:val="Hyperlink"/>
          </w:rPr>
          <w:t>https://www.eia.gov/todayinenergy/detail.cfm?id=26112</w:t>
        </w:r>
      </w:hyperlink>
      <w:r>
        <w:t xml:space="preserve"> </w:t>
      </w:r>
    </w:p>
    <w:p w:rsidR="00C73410" w:rsidRPr="00CE6264" w:rsidRDefault="00C73410" w:rsidP="00C73410">
      <w:pPr>
        <w:contextualSpacing/>
        <w:jc w:val="center"/>
      </w:pPr>
    </w:p>
    <w:p w:rsidR="00C73410" w:rsidRPr="00CE6264" w:rsidRDefault="009C4F14" w:rsidP="00C73410">
      <w:pPr>
        <w:pStyle w:val="ListParagraph"/>
        <w:spacing w:after="200" w:line="276" w:lineRule="auto"/>
        <w:ind w:left="900"/>
        <w:contextualSpacing/>
      </w:pPr>
      <w:r>
        <w:rPr>
          <w:noProof/>
        </w:rPr>
        <mc:AlternateContent>
          <mc:Choice Requires="wps">
            <w:drawing>
              <wp:anchor distT="0" distB="0" distL="114300" distR="114300" simplePos="0" relativeHeight="251668480" behindDoc="0" locked="0" layoutInCell="1" allowOverlap="1" wp14:anchorId="6C196764" wp14:editId="114CB0A6">
                <wp:simplePos x="0" y="0"/>
                <wp:positionH relativeFrom="column">
                  <wp:posOffset>2047875</wp:posOffset>
                </wp:positionH>
                <wp:positionV relativeFrom="paragraph">
                  <wp:posOffset>144146</wp:posOffset>
                </wp:positionV>
                <wp:extent cx="1952625" cy="561974"/>
                <wp:effectExtent l="0" t="57150" r="0" b="29210"/>
                <wp:wrapNone/>
                <wp:docPr id="20" name="Straight Arrow Connector 1"/>
                <wp:cNvGraphicFramePr/>
                <a:graphic xmlns:a="http://schemas.openxmlformats.org/drawingml/2006/main">
                  <a:graphicData uri="http://schemas.microsoft.com/office/word/2010/wordprocessingShape">
                    <wps:wsp>
                      <wps:cNvCnPr/>
                      <wps:spPr>
                        <a:xfrm flipV="1">
                          <a:off x="0" y="0"/>
                          <a:ext cx="1952625" cy="5619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61.25pt;margin-top:11.35pt;width:153.75pt;height:44.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VT3AEAAA0EAAAOAAAAZHJzL2Uyb0RvYy54bWysU8uO0zAU3SPxD5b3NA/RwkRNR6gDbBBU&#10;DMPe49iNJb90bZrk77l20oBgJARiY/l1zj3n+Hp/OxpNLgKCcral1aakRFjuOmXPLX348u7Fa0pC&#10;ZLZj2lnR0kkEent4/mw/+EbUrne6E0CQxIZm8C3tY/RNUQTeC8PCxnlh8VA6MCziEs5FB2xAdqOL&#10;uix3xeCg8+C4CAF37+ZDesj8UgoeP0kZRCS6pagt5hHy+JjG4rBnzRmY7xVfZLB/UGGYslh0pbpj&#10;kZFvoH6jMoqDC07GDXemcFIqLrIHdFOVv7i575kX2QuGE/waU/h/tPzj5QREdS2tMR7LDL7RfQSm&#10;zn0kbwDcQI7OWszRAalSXIMPDaKO9gTLKvgTJO+jBEOkVv4rdkJOA/2RMYc9rWGLMRKOm9XNtt7V&#10;W0o4nm131c2rl4m+mHkSn4cQ3wtnSJq0NCyyVj1zDXb5EOIMvAISWNs0Rqb0W9uROHk0xpKfpUg6&#10;L5KXWX2exUmLGftZSAwlqcw+cjuKowZyYdhIjHNhY04D5WqLtxNMKq1XYPln4HI/QUVu1b8Br4hc&#10;2dm4go2yDp6qHserZDnfvyYw+04RPLpuyu+ao8Geyw+y/I/U1D+vM/zHLz58BwAA//8DAFBLAwQU&#10;AAYACAAAACEASKwPid4AAAAKAQAADwAAAGRycy9kb3ducmV2LnhtbEyPQU7DMBBF90jcwRokdtSJ&#10;K9IqxKlCBQiJVQMHcOMhiRqPo9ht0tszrGA5mqf/3y92ixvEBafQe9KQrhIQSI23PbUavj5fH7Yg&#10;QjRkzeAJNVwxwK68vSlMbv1MB7zUsRUcQiE3GroYx1zK0HToTFj5EYl/335yJvI5tdJOZuZwN0iV&#10;JJl0pidu6MyI+w6bU312Gqqt/KDTdb8J9XuT2WFeXt6qZ63v75bqCUTEJf7B8KvP6lCy09GfyQYx&#10;aFgr9cioBqU2IBjI1gmPOzKZpgpkWcj/E8ofAAAA//8DAFBLAQItABQABgAIAAAAIQC2gziS/gAA&#10;AOEBAAATAAAAAAAAAAAAAAAAAAAAAABbQ29udGVudF9UeXBlc10ueG1sUEsBAi0AFAAGAAgAAAAh&#10;ADj9If/WAAAAlAEAAAsAAAAAAAAAAAAAAAAALwEAAF9yZWxzLy5yZWxzUEsBAi0AFAAGAAgAAAAh&#10;AGbRVVPcAQAADQQAAA4AAAAAAAAAAAAAAAAALgIAAGRycy9lMm9Eb2MueG1sUEsBAi0AFAAGAAgA&#10;AAAhAEisD4neAAAACgEAAA8AAAAAAAAAAAAAAAAANgQAAGRycy9kb3ducmV2LnhtbFBLBQYAAAAA&#10;BAAEAPMAAABBBQAAAAA=&#10;" strokecolor="#4579b8 [3044]">
                <v:stroke endarrow="open"/>
              </v:shape>
            </w:pict>
          </mc:Fallback>
        </mc:AlternateContent>
      </w:r>
    </w:p>
    <w:p w:rsidR="009C4F14" w:rsidRDefault="009C4F14">
      <w:pPr>
        <w:rPr>
          <w:rFonts w:ascii="Calibri" w:hAnsi="Calibri" w:cs="Times New Roman"/>
        </w:rPr>
      </w:pPr>
      <w:r>
        <w:br w:type="page"/>
      </w:r>
    </w:p>
    <w:p w:rsidR="00CB5C8F" w:rsidRDefault="00CB5C8F" w:rsidP="009F2DFD">
      <w:pPr>
        <w:pStyle w:val="ListParagraph"/>
        <w:numPr>
          <w:ilvl w:val="1"/>
          <w:numId w:val="3"/>
        </w:numPr>
        <w:spacing w:after="200" w:line="276" w:lineRule="auto"/>
        <w:ind w:left="900" w:hanging="450"/>
        <w:contextualSpacing/>
      </w:pPr>
      <w:r w:rsidRPr="00CE6264">
        <w:lastRenderedPageBreak/>
        <w:t>US regional prices under $2 even in winter – cheapest US gas now found in the Northeast (PA)</w:t>
      </w:r>
    </w:p>
    <w:p w:rsidR="009C4F14" w:rsidRDefault="009C4F14" w:rsidP="009C4F14">
      <w:pPr>
        <w:pStyle w:val="ListParagraph"/>
        <w:spacing w:after="200" w:line="276" w:lineRule="auto"/>
        <w:ind w:left="360"/>
        <w:contextualSpacing/>
      </w:pPr>
      <w:r>
        <w:t>Bloomberg Appalachian Natural Gas Index (USREAPPA BGAP Index) and Spot as of May 31, 2016</w:t>
      </w:r>
    </w:p>
    <w:p w:rsidR="009F2DFD" w:rsidRDefault="009C4F14" w:rsidP="009C4F14">
      <w:pPr>
        <w:jc w:val="center"/>
        <w:rPr>
          <w:rFonts w:ascii="Calibri" w:hAnsi="Calibri" w:cs="Times New Roman"/>
        </w:rPr>
      </w:pPr>
      <w:r>
        <w:rPr>
          <w:noProof/>
        </w:rPr>
        <w:drawing>
          <wp:inline distT="0" distB="0" distL="0" distR="0" wp14:anchorId="5B6665C8" wp14:editId="0C1B2D73">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70313" w:rsidRDefault="00D70313">
      <w:pPr>
        <w:rPr>
          <w:rFonts w:ascii="Calibri" w:hAnsi="Calibri" w:cs="Times New Roman"/>
        </w:rPr>
      </w:pPr>
      <w:r>
        <w:br w:type="page"/>
      </w:r>
    </w:p>
    <w:p w:rsidR="00CB5C8F" w:rsidRDefault="00CB5C8F" w:rsidP="009F2DFD">
      <w:pPr>
        <w:pStyle w:val="ListParagraph"/>
        <w:numPr>
          <w:ilvl w:val="1"/>
          <w:numId w:val="3"/>
        </w:numPr>
        <w:spacing w:after="200" w:line="276" w:lineRule="auto"/>
        <w:ind w:left="900" w:hanging="450"/>
        <w:contextualSpacing/>
      </w:pPr>
      <w:r w:rsidRPr="00CE6264">
        <w:lastRenderedPageBreak/>
        <w:t xml:space="preserve">Hydraulic fracturing </w:t>
      </w:r>
      <w:r>
        <w:t>and horizontal drilling are disruptive technologies causing continued growth in production per rig.</w:t>
      </w:r>
    </w:p>
    <w:tbl>
      <w:tblPr>
        <w:tblStyle w:val="TableGrid"/>
        <w:tblW w:w="10452" w:type="dxa"/>
        <w:jc w:val="center"/>
        <w:tblLook w:val="04A0" w:firstRow="1" w:lastRow="0" w:firstColumn="1" w:lastColumn="0" w:noHBand="0" w:noVBand="1"/>
      </w:tblPr>
      <w:tblGrid>
        <w:gridCol w:w="5286"/>
        <w:gridCol w:w="5166"/>
      </w:tblGrid>
      <w:tr w:rsidR="00CB5C8F" w:rsidTr="00CB5C8F">
        <w:trPr>
          <w:trHeight w:val="265"/>
          <w:jc w:val="center"/>
        </w:trPr>
        <w:tc>
          <w:tcPr>
            <w:tcW w:w="5286" w:type="dxa"/>
          </w:tcPr>
          <w:p w:rsidR="00CB5C8F" w:rsidRPr="00FD0420" w:rsidRDefault="00CB5C8F" w:rsidP="0072004B">
            <w:pPr>
              <w:jc w:val="center"/>
              <w:rPr>
                <w:b/>
                <w:u w:val="single"/>
              </w:rPr>
            </w:pPr>
            <w:r>
              <w:rPr>
                <w:b/>
                <w:u w:val="single"/>
              </w:rPr>
              <w:t>Gas Shale Plays</w:t>
            </w:r>
          </w:p>
        </w:tc>
        <w:tc>
          <w:tcPr>
            <w:tcW w:w="5166" w:type="dxa"/>
          </w:tcPr>
          <w:p w:rsidR="00CB5C8F" w:rsidRPr="00FD0420" w:rsidRDefault="00CB5C8F" w:rsidP="0072004B">
            <w:pPr>
              <w:jc w:val="center"/>
              <w:rPr>
                <w:b/>
                <w:u w:val="single"/>
              </w:rPr>
            </w:pPr>
            <w:r w:rsidRPr="00FD0420">
              <w:rPr>
                <w:b/>
                <w:u w:val="single"/>
              </w:rPr>
              <w:t>Liquids Rich Shale Plays with Associated Gas</w:t>
            </w:r>
          </w:p>
        </w:tc>
      </w:tr>
      <w:tr w:rsidR="00CB5C8F" w:rsidTr="00CB5C8F">
        <w:trPr>
          <w:trHeight w:val="2758"/>
          <w:jc w:val="center"/>
        </w:trPr>
        <w:tc>
          <w:tcPr>
            <w:tcW w:w="5286" w:type="dxa"/>
          </w:tcPr>
          <w:p w:rsidR="00CB5C8F" w:rsidRDefault="000D5B74" w:rsidP="0072004B">
            <w:r>
              <w:rPr>
                <w:noProof/>
              </w:rPr>
              <w:drawing>
                <wp:inline distT="0" distB="0" distL="0" distR="0" wp14:anchorId="13204ABE" wp14:editId="25EF7DCE">
                  <wp:extent cx="3148093" cy="1714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48093" cy="1714500"/>
                          </a:xfrm>
                          <a:prstGeom prst="rect">
                            <a:avLst/>
                          </a:prstGeom>
                        </pic:spPr>
                      </pic:pic>
                    </a:graphicData>
                  </a:graphic>
                </wp:inline>
              </w:drawing>
            </w:r>
          </w:p>
        </w:tc>
        <w:tc>
          <w:tcPr>
            <w:tcW w:w="5166" w:type="dxa"/>
          </w:tcPr>
          <w:p w:rsidR="00CB5C8F" w:rsidRDefault="000D5B74" w:rsidP="0072004B">
            <w:r>
              <w:rPr>
                <w:noProof/>
              </w:rPr>
              <w:drawing>
                <wp:inline distT="0" distB="0" distL="0" distR="0" wp14:anchorId="52E7C438" wp14:editId="205F8C09">
                  <wp:extent cx="3059094" cy="166687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63837" cy="1669459"/>
                          </a:xfrm>
                          <a:prstGeom prst="rect">
                            <a:avLst/>
                          </a:prstGeom>
                        </pic:spPr>
                      </pic:pic>
                    </a:graphicData>
                  </a:graphic>
                </wp:inline>
              </w:drawing>
            </w:r>
          </w:p>
        </w:tc>
      </w:tr>
      <w:tr w:rsidR="00CB5C8F" w:rsidTr="00CB5C8F">
        <w:trPr>
          <w:trHeight w:val="2719"/>
          <w:jc w:val="center"/>
        </w:trPr>
        <w:tc>
          <w:tcPr>
            <w:tcW w:w="5286" w:type="dxa"/>
          </w:tcPr>
          <w:p w:rsidR="00CB5C8F" w:rsidRDefault="000D5B74" w:rsidP="0072004B">
            <w:r>
              <w:rPr>
                <w:noProof/>
              </w:rPr>
              <w:drawing>
                <wp:inline distT="0" distB="0" distL="0" distR="0" wp14:anchorId="4183C1E9" wp14:editId="45731B63">
                  <wp:extent cx="3063240" cy="169164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63240" cy="1691640"/>
                          </a:xfrm>
                          <a:prstGeom prst="rect">
                            <a:avLst/>
                          </a:prstGeom>
                        </pic:spPr>
                      </pic:pic>
                    </a:graphicData>
                  </a:graphic>
                </wp:inline>
              </w:drawing>
            </w:r>
          </w:p>
        </w:tc>
        <w:tc>
          <w:tcPr>
            <w:tcW w:w="5166" w:type="dxa"/>
          </w:tcPr>
          <w:p w:rsidR="00CB5C8F" w:rsidRDefault="000D5B74" w:rsidP="0072004B">
            <w:r>
              <w:rPr>
                <w:noProof/>
              </w:rPr>
              <w:drawing>
                <wp:inline distT="0" distB="0" distL="0" distR="0" wp14:anchorId="753565D2" wp14:editId="1C900D2C">
                  <wp:extent cx="3070860" cy="1676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70860" cy="1676400"/>
                          </a:xfrm>
                          <a:prstGeom prst="rect">
                            <a:avLst/>
                          </a:prstGeom>
                        </pic:spPr>
                      </pic:pic>
                    </a:graphicData>
                  </a:graphic>
                </wp:inline>
              </w:drawing>
            </w:r>
          </w:p>
        </w:tc>
      </w:tr>
      <w:tr w:rsidR="00CB5C8F" w:rsidTr="00CB5C8F">
        <w:trPr>
          <w:trHeight w:val="2795"/>
          <w:jc w:val="center"/>
        </w:trPr>
        <w:tc>
          <w:tcPr>
            <w:tcW w:w="5286" w:type="dxa"/>
          </w:tcPr>
          <w:p w:rsidR="00CB5C8F" w:rsidRDefault="000D5B74" w:rsidP="0072004B">
            <w:r>
              <w:rPr>
                <w:noProof/>
              </w:rPr>
              <w:drawing>
                <wp:inline distT="0" distB="0" distL="0" distR="0" wp14:anchorId="7B93AE8F" wp14:editId="7052C05E">
                  <wp:extent cx="3124200" cy="16687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24200" cy="1668780"/>
                          </a:xfrm>
                          <a:prstGeom prst="rect">
                            <a:avLst/>
                          </a:prstGeom>
                        </pic:spPr>
                      </pic:pic>
                    </a:graphicData>
                  </a:graphic>
                </wp:inline>
              </w:drawing>
            </w:r>
          </w:p>
        </w:tc>
        <w:tc>
          <w:tcPr>
            <w:tcW w:w="5166" w:type="dxa"/>
          </w:tcPr>
          <w:p w:rsidR="00CB5C8F" w:rsidRDefault="000D5B74" w:rsidP="0072004B">
            <w:r>
              <w:rPr>
                <w:noProof/>
              </w:rPr>
              <w:drawing>
                <wp:inline distT="0" distB="0" distL="0" distR="0" wp14:anchorId="3FED66EF" wp14:editId="4666D08C">
                  <wp:extent cx="3131820" cy="16916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31820" cy="1691640"/>
                          </a:xfrm>
                          <a:prstGeom prst="rect">
                            <a:avLst/>
                          </a:prstGeom>
                        </pic:spPr>
                      </pic:pic>
                    </a:graphicData>
                  </a:graphic>
                </wp:inline>
              </w:drawing>
            </w:r>
          </w:p>
        </w:tc>
      </w:tr>
    </w:tbl>
    <w:p w:rsidR="00D70313" w:rsidRDefault="00D70313" w:rsidP="000204B7">
      <w:pPr>
        <w:pStyle w:val="ListParagraph"/>
        <w:spacing w:after="200" w:line="276" w:lineRule="auto"/>
        <w:ind w:left="900"/>
        <w:contextualSpacing/>
      </w:pPr>
    </w:p>
    <w:p w:rsidR="00D70313" w:rsidRDefault="00D70313">
      <w:pPr>
        <w:rPr>
          <w:rFonts w:ascii="Calibri" w:hAnsi="Calibri" w:cs="Times New Roman"/>
        </w:rPr>
      </w:pPr>
      <w:r>
        <w:br w:type="page"/>
      </w:r>
    </w:p>
    <w:p w:rsidR="00CB5C8F" w:rsidRDefault="00CB5C8F" w:rsidP="009F2DFD">
      <w:pPr>
        <w:pStyle w:val="ListParagraph"/>
        <w:numPr>
          <w:ilvl w:val="1"/>
          <w:numId w:val="3"/>
        </w:numPr>
        <w:spacing w:after="200" w:line="276" w:lineRule="auto"/>
        <w:ind w:left="900" w:hanging="450"/>
        <w:contextualSpacing/>
      </w:pPr>
      <w:r w:rsidRPr="00CE6264">
        <w:lastRenderedPageBreak/>
        <w:t>Huge increase and steady improvement in drilling productivity. US gas-directed drilling in 2014/2015 fell to historical lows (since 1987). Yet US production grew 3.3</w:t>
      </w:r>
      <w:r>
        <w:t xml:space="preserve"> Tcf (+13%) over this period.  </w:t>
      </w:r>
      <w:r w:rsidRPr="00CE6264">
        <w:t>Huge gains in supply are possible now with modest increase in investment.</w:t>
      </w:r>
    </w:p>
    <w:p w:rsidR="00D70313" w:rsidRDefault="009C4F14" w:rsidP="009C4F14">
      <w:pPr>
        <w:ind w:left="180" w:firstLine="720"/>
      </w:pPr>
      <w:r>
        <w:rPr>
          <w:noProof/>
        </w:rPr>
        <w:drawing>
          <wp:anchor distT="0" distB="0" distL="114300" distR="114300" simplePos="0" relativeHeight="251669504" behindDoc="1" locked="0" layoutInCell="1" allowOverlap="1" wp14:anchorId="187D5B7C" wp14:editId="1C2B50A2">
            <wp:simplePos x="0" y="0"/>
            <wp:positionH relativeFrom="column">
              <wp:posOffset>428625</wp:posOffset>
            </wp:positionH>
            <wp:positionV relativeFrom="paragraph">
              <wp:posOffset>217805</wp:posOffset>
            </wp:positionV>
            <wp:extent cx="5095875" cy="3894455"/>
            <wp:effectExtent l="0" t="0" r="9525" b="0"/>
            <wp:wrapTight wrapText="bothSides">
              <wp:wrapPolygon edited="0">
                <wp:start x="0" y="0"/>
                <wp:lineTo x="0" y="21449"/>
                <wp:lineTo x="21560" y="21449"/>
                <wp:lineTo x="2156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095875" cy="3894455"/>
                    </a:xfrm>
                    <a:prstGeom prst="rect">
                      <a:avLst/>
                    </a:prstGeom>
                  </pic:spPr>
                </pic:pic>
              </a:graphicData>
            </a:graphic>
            <wp14:sizeRelH relativeFrom="page">
              <wp14:pctWidth>0</wp14:pctWidth>
            </wp14:sizeRelH>
            <wp14:sizeRelV relativeFrom="page">
              <wp14:pctHeight>0</wp14:pctHeight>
            </wp14:sizeRelV>
          </wp:anchor>
        </w:drawing>
      </w:r>
      <w:hyperlink r:id="rId30" w:history="1">
        <w:r w:rsidRPr="00DB3CD2">
          <w:rPr>
            <w:rStyle w:val="Hyperlink"/>
          </w:rPr>
          <w:t>http://www.eia.gov/naturalgas/weekly/archive/2016/03_17/</w:t>
        </w:r>
      </w:hyperlink>
    </w:p>
    <w:p w:rsidR="009C4F14" w:rsidRDefault="009C4F14" w:rsidP="009C4F14">
      <w:pPr>
        <w:jc w:val="center"/>
      </w:pPr>
    </w:p>
    <w:p w:rsidR="00D70313" w:rsidRDefault="00D70313" w:rsidP="00D70313">
      <w:pPr>
        <w:pStyle w:val="ListParagraph"/>
        <w:ind w:left="360"/>
        <w:jc w:val="center"/>
      </w:pPr>
    </w:p>
    <w:p w:rsidR="00CB5C8F" w:rsidRDefault="00CB5C8F">
      <w:pPr>
        <w:rPr>
          <w:rFonts w:ascii="Calibri" w:hAnsi="Calibri" w:cs="Times New Roman"/>
        </w:rPr>
      </w:pPr>
    </w:p>
    <w:p w:rsidR="00CB5C8F" w:rsidRDefault="00CB5C8F" w:rsidP="009F2DFD">
      <w:pPr>
        <w:pStyle w:val="ListParagraph"/>
        <w:numPr>
          <w:ilvl w:val="1"/>
          <w:numId w:val="3"/>
        </w:numPr>
        <w:spacing w:after="200" w:line="276" w:lineRule="auto"/>
        <w:ind w:left="900" w:hanging="450"/>
        <w:contextualSpacing/>
      </w:pPr>
      <w:r w:rsidRPr="00CE6264">
        <w:t>Increased efficiencies and diversification of basins means US gas will remain a relatively stable and inexpensive resour</w:t>
      </w:r>
      <w:r>
        <w:t xml:space="preserve">ce.  </w:t>
      </w:r>
      <w:r w:rsidRPr="00CE6264">
        <w:t xml:space="preserve">Production growth sustained even in 2015’s low commodity price environment. </w:t>
      </w:r>
      <w:hyperlink r:id="rId31" w:history="1">
        <w:r w:rsidR="009F2DFD" w:rsidRPr="007519FE">
          <w:rPr>
            <w:rStyle w:val="Hyperlink"/>
          </w:rPr>
          <w:t>https://www.eia.gov/todayinenergy/detail.cfm?id=25832</w:t>
        </w:r>
      </w:hyperlink>
      <w:r w:rsidR="009F2DFD">
        <w:t xml:space="preserve"> </w:t>
      </w:r>
    </w:p>
    <w:p w:rsidR="00CB5C8F" w:rsidRPr="00CE6264" w:rsidRDefault="00CB5C8F" w:rsidP="00CB5C8F">
      <w:pPr>
        <w:contextualSpacing/>
        <w:jc w:val="center"/>
      </w:pPr>
      <w:r>
        <w:rPr>
          <w:noProof/>
        </w:rPr>
        <w:drawing>
          <wp:inline distT="0" distB="0" distL="0" distR="0" wp14:anchorId="0CF01E15" wp14:editId="72BED4C2">
            <wp:extent cx="4968240" cy="25222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68240" cy="2522220"/>
                    </a:xfrm>
                    <a:prstGeom prst="rect">
                      <a:avLst/>
                    </a:prstGeom>
                  </pic:spPr>
                </pic:pic>
              </a:graphicData>
            </a:graphic>
          </wp:inline>
        </w:drawing>
      </w:r>
    </w:p>
    <w:p w:rsidR="00CB5C8F" w:rsidRDefault="00CB5C8F" w:rsidP="009F2DFD">
      <w:pPr>
        <w:pStyle w:val="ListParagraph"/>
        <w:numPr>
          <w:ilvl w:val="1"/>
          <w:numId w:val="3"/>
        </w:numPr>
        <w:spacing w:after="200" w:line="276" w:lineRule="auto"/>
        <w:ind w:left="900" w:hanging="450"/>
        <w:contextualSpacing/>
      </w:pPr>
      <w:r w:rsidRPr="00CE6264">
        <w:lastRenderedPageBreak/>
        <w:t>Exports will not result in significant price increase at H</w:t>
      </w:r>
      <w:r>
        <w:t xml:space="preserve">enry </w:t>
      </w:r>
      <w:r w:rsidRPr="00CE6264">
        <w:t>H</w:t>
      </w:r>
      <w:r>
        <w:t>ub</w:t>
      </w:r>
      <w:r w:rsidRPr="00CE6264">
        <w:t xml:space="preserve">: DOE commissioned studies and other studies corroborate: </w:t>
      </w:r>
      <w:hyperlink r:id="rId33" w:history="1">
        <w:r w:rsidR="009F2DFD" w:rsidRPr="007519FE">
          <w:rPr>
            <w:rStyle w:val="Hyperlink"/>
          </w:rPr>
          <w:t>http://www.eia.gov/analysis/requests/fe/</w:t>
        </w:r>
      </w:hyperlink>
      <w:r w:rsidR="009F2DFD">
        <w:t xml:space="preserve"> </w:t>
      </w:r>
      <w:r w:rsidRPr="00CE6264">
        <w:t xml:space="preserve">And </w:t>
      </w:r>
      <w:hyperlink r:id="rId34" w:history="1">
        <w:r w:rsidR="009F2DFD" w:rsidRPr="007519FE">
          <w:rPr>
            <w:rStyle w:val="Hyperlink"/>
          </w:rPr>
          <w:t>http://energy.gov/sites/prod/files/2015/12/f27/20151113_macro_impact_of_lng_exports_0.pdf</w:t>
        </w:r>
      </w:hyperlink>
      <w:r w:rsidR="009F2DFD">
        <w:t xml:space="preserve"> </w:t>
      </w:r>
    </w:p>
    <w:p w:rsidR="00CB5C8F" w:rsidRDefault="00CB5C8F" w:rsidP="009F2DFD">
      <w:pPr>
        <w:pStyle w:val="ListParagraph"/>
        <w:numPr>
          <w:ilvl w:val="1"/>
          <w:numId w:val="3"/>
        </w:numPr>
        <w:spacing w:after="200" w:line="276" w:lineRule="auto"/>
        <w:ind w:left="900" w:hanging="450"/>
        <w:contextualSpacing/>
      </w:pPr>
      <w:r>
        <w:rPr>
          <w:noProof/>
        </w:rPr>
        <w:drawing>
          <wp:anchor distT="0" distB="0" distL="114300" distR="114300" simplePos="0" relativeHeight="251660288" behindDoc="1" locked="0" layoutInCell="1" allowOverlap="1" wp14:anchorId="1DF4FB1C" wp14:editId="5A52128C">
            <wp:simplePos x="0" y="0"/>
            <wp:positionH relativeFrom="column">
              <wp:posOffset>481965</wp:posOffset>
            </wp:positionH>
            <wp:positionV relativeFrom="paragraph">
              <wp:posOffset>563245</wp:posOffset>
            </wp:positionV>
            <wp:extent cx="5316220" cy="3488055"/>
            <wp:effectExtent l="0" t="0" r="0" b="0"/>
            <wp:wrapTight wrapText="bothSides">
              <wp:wrapPolygon edited="0">
                <wp:start x="0" y="0"/>
                <wp:lineTo x="0" y="21470"/>
                <wp:lineTo x="21517" y="21470"/>
                <wp:lineTo x="215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16220" cy="348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264">
        <w:t xml:space="preserve">IHS: 800 Tcf recoverable in US Lower 48 and Canada at under $3/MMBtu </w:t>
      </w:r>
      <w:hyperlink r:id="rId36" w:history="1">
        <w:r w:rsidR="009F2DFD" w:rsidRPr="007519FE">
          <w:rPr>
            <w:rStyle w:val="Hyperlink"/>
          </w:rPr>
          <w:t>http://press.ihs.com/press-release/north-americas-unconventional-natural-gas-resource-base-continues-expand-volume-and-de</w:t>
        </w:r>
      </w:hyperlink>
      <w:r w:rsidR="009F2DFD">
        <w:t xml:space="preserve"> </w:t>
      </w:r>
    </w:p>
    <w:p w:rsidR="00CB5C8F" w:rsidRPr="00CE6264" w:rsidRDefault="00CB5C8F" w:rsidP="00CB5C8F">
      <w:pPr>
        <w:contextualSpacing/>
        <w:jc w:val="center"/>
      </w:pPr>
    </w:p>
    <w:p w:rsidR="009C4F14" w:rsidRDefault="009C4F14">
      <w:pPr>
        <w:rPr>
          <w:rFonts w:ascii="Calibri" w:hAnsi="Calibri" w:cs="Times New Roman"/>
        </w:rPr>
      </w:pPr>
      <w:r>
        <w:br w:type="page"/>
      </w:r>
    </w:p>
    <w:p w:rsidR="00CB5C8F" w:rsidRPr="00CE6264" w:rsidRDefault="00CB5C8F" w:rsidP="009F2DFD">
      <w:pPr>
        <w:pStyle w:val="ListParagraph"/>
        <w:numPr>
          <w:ilvl w:val="0"/>
          <w:numId w:val="3"/>
        </w:numPr>
        <w:spacing w:after="200" w:line="276" w:lineRule="auto"/>
        <w:contextualSpacing/>
      </w:pPr>
      <w:r w:rsidRPr="00CE6264">
        <w:lastRenderedPageBreak/>
        <w:t xml:space="preserve">HH linked LNG will represent a significant portion of the </w:t>
      </w:r>
      <w:r w:rsidR="00A37C5E">
        <w:t xml:space="preserve">global LNG </w:t>
      </w:r>
      <w:r w:rsidRPr="00CE6264">
        <w:t>supply pool by 2020</w:t>
      </w:r>
    </w:p>
    <w:p w:rsidR="00CB5C8F" w:rsidRDefault="00CB5C8F" w:rsidP="009F2DFD">
      <w:pPr>
        <w:pStyle w:val="ListParagraph"/>
        <w:numPr>
          <w:ilvl w:val="1"/>
          <w:numId w:val="3"/>
        </w:numPr>
        <w:spacing w:after="200" w:line="276" w:lineRule="auto"/>
        <w:ind w:left="720"/>
        <w:contextualSpacing/>
      </w:pPr>
      <w:r w:rsidRPr="00CE6264">
        <w:t>US to become one of the three top LNG suppliers (60+ mtpa under construction)</w:t>
      </w:r>
    </w:p>
    <w:p w:rsidR="0051313C" w:rsidRDefault="0051313C" w:rsidP="0051313C">
      <w:pPr>
        <w:pStyle w:val="ListParagraph"/>
        <w:ind w:left="360"/>
        <w:rPr>
          <w:rStyle w:val="Hyperlink"/>
          <w:i/>
        </w:rPr>
      </w:pPr>
      <w:r>
        <w:t xml:space="preserve">Interpretation of Existing and Under Construction Liquefaction Plants from IGU 2016 Report: </w:t>
      </w:r>
      <w:hyperlink r:id="rId37" w:history="1">
        <w:r w:rsidRPr="00130C9B">
          <w:rPr>
            <w:rStyle w:val="Hyperlink"/>
            <w:i/>
          </w:rPr>
          <w:t>http://www.igu.org/download/file/fid/2123</w:t>
        </w:r>
      </w:hyperlink>
    </w:p>
    <w:p w:rsidR="0051313C" w:rsidRDefault="0051313C" w:rsidP="0051313C">
      <w:pPr>
        <w:pStyle w:val="ListParagraph"/>
        <w:spacing w:after="200" w:line="276" w:lineRule="auto"/>
        <w:contextualSpacing/>
      </w:pPr>
    </w:p>
    <w:p w:rsidR="0051313C" w:rsidRPr="00CE6264" w:rsidRDefault="0051313C" w:rsidP="0051313C">
      <w:pPr>
        <w:pStyle w:val="ListParagraph"/>
        <w:spacing w:after="200" w:line="276" w:lineRule="auto"/>
        <w:contextualSpacing/>
        <w:jc w:val="center"/>
      </w:pPr>
      <w:r w:rsidRPr="0051313C">
        <w:rPr>
          <w:noProof/>
        </w:rPr>
        <w:drawing>
          <wp:inline distT="0" distB="0" distL="0" distR="0" wp14:anchorId="6597FC39" wp14:editId="12B3F319">
            <wp:extent cx="4131945" cy="4318000"/>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1945" cy="4318000"/>
                    </a:xfrm>
                    <a:prstGeom prst="rect">
                      <a:avLst/>
                    </a:prstGeom>
                    <a:noFill/>
                    <a:ln>
                      <a:noFill/>
                    </a:ln>
                  </pic:spPr>
                </pic:pic>
              </a:graphicData>
            </a:graphic>
          </wp:inline>
        </w:drawing>
      </w:r>
    </w:p>
    <w:p w:rsidR="00CB5C8F" w:rsidRDefault="00CB5C8F" w:rsidP="009F2DFD">
      <w:pPr>
        <w:pStyle w:val="ListParagraph"/>
        <w:numPr>
          <w:ilvl w:val="1"/>
          <w:numId w:val="3"/>
        </w:numPr>
        <w:spacing w:after="200" w:line="276" w:lineRule="auto"/>
        <w:ind w:left="720"/>
        <w:contextualSpacing/>
      </w:pPr>
      <w:r w:rsidRPr="00CE6264">
        <w:t>US LNG is already changing the landscape of the global gas market</w:t>
      </w:r>
    </w:p>
    <w:p w:rsidR="00A37C5E" w:rsidRDefault="00A37C5E" w:rsidP="009F2DFD">
      <w:pPr>
        <w:pStyle w:val="ListParagraph"/>
        <w:numPr>
          <w:ilvl w:val="1"/>
          <w:numId w:val="3"/>
        </w:numPr>
        <w:spacing w:after="200" w:line="276" w:lineRule="auto"/>
        <w:ind w:left="720"/>
        <w:contextualSpacing/>
      </w:pPr>
      <w:r>
        <w:t>US LNG will represent half the supply capacity in the Atlantic Basin in 2020</w:t>
      </w:r>
    </w:p>
    <w:p w:rsidR="0051313C" w:rsidRDefault="0051313C" w:rsidP="0051313C">
      <w:pPr>
        <w:pStyle w:val="ListParagraph"/>
        <w:ind w:left="360"/>
        <w:rPr>
          <w:rStyle w:val="Hyperlink"/>
          <w:i/>
        </w:rPr>
      </w:pPr>
      <w:r w:rsidRPr="00045D26">
        <w:rPr>
          <w:noProof/>
        </w:rPr>
        <w:drawing>
          <wp:anchor distT="0" distB="0" distL="114300" distR="114300" simplePos="0" relativeHeight="251663360" behindDoc="1" locked="0" layoutInCell="1" allowOverlap="1" wp14:anchorId="23E09F8B" wp14:editId="7B55596E">
            <wp:simplePos x="0" y="0"/>
            <wp:positionH relativeFrom="column">
              <wp:posOffset>-440690</wp:posOffset>
            </wp:positionH>
            <wp:positionV relativeFrom="paragraph">
              <wp:posOffset>542290</wp:posOffset>
            </wp:positionV>
            <wp:extent cx="4741545" cy="2040255"/>
            <wp:effectExtent l="0" t="0" r="1905" b="0"/>
            <wp:wrapTight wrapText="bothSides">
              <wp:wrapPolygon edited="0">
                <wp:start x="0" y="0"/>
                <wp:lineTo x="0" y="21378"/>
                <wp:lineTo x="21522" y="21378"/>
                <wp:lineTo x="2152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1545" cy="20402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Interpretation of Existing and Under Construction Liquefaction Plants from IGU 2016 Report: </w:t>
      </w:r>
      <w:hyperlink r:id="rId40" w:history="1">
        <w:r w:rsidRPr="00130C9B">
          <w:rPr>
            <w:rStyle w:val="Hyperlink"/>
            <w:i/>
          </w:rPr>
          <w:t>http://www.igu.org/download/file/fid/2123</w:t>
        </w:r>
      </w:hyperlink>
    </w:p>
    <w:p w:rsidR="0051313C" w:rsidRDefault="0051313C" w:rsidP="0051313C">
      <w:pPr>
        <w:pStyle w:val="ListParagraph"/>
        <w:spacing w:after="200" w:line="276" w:lineRule="auto"/>
        <w:contextualSpacing/>
      </w:pPr>
    </w:p>
    <w:p w:rsidR="0051313C" w:rsidRDefault="0051313C" w:rsidP="0051313C">
      <w:pPr>
        <w:pStyle w:val="ListParagraph"/>
        <w:spacing w:after="200" w:line="276" w:lineRule="auto"/>
        <w:contextualSpacing/>
      </w:pPr>
      <w:r>
        <w:rPr>
          <w:noProof/>
        </w:rPr>
        <w:drawing>
          <wp:anchor distT="0" distB="0" distL="114300" distR="114300" simplePos="0" relativeHeight="251662336" behindDoc="1" locked="0" layoutInCell="1" allowOverlap="1" wp14:anchorId="7B2AE4AB" wp14:editId="3793656A">
            <wp:simplePos x="0" y="0"/>
            <wp:positionH relativeFrom="column">
              <wp:posOffset>-705062</wp:posOffset>
            </wp:positionH>
            <wp:positionV relativeFrom="paragraph">
              <wp:posOffset>8255</wp:posOffset>
            </wp:positionV>
            <wp:extent cx="2866390" cy="21164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6390" cy="2116455"/>
                    </a:xfrm>
                    <a:prstGeom prst="rect">
                      <a:avLst/>
                    </a:prstGeom>
                    <a:noFill/>
                  </pic:spPr>
                </pic:pic>
              </a:graphicData>
            </a:graphic>
            <wp14:sizeRelH relativeFrom="page">
              <wp14:pctWidth>0</wp14:pctWidth>
            </wp14:sizeRelH>
            <wp14:sizeRelV relativeFrom="page">
              <wp14:pctHeight>0</wp14:pctHeight>
            </wp14:sizeRelV>
          </wp:anchor>
        </w:drawing>
      </w:r>
    </w:p>
    <w:p w:rsidR="0051313C" w:rsidRDefault="0051313C" w:rsidP="0051313C">
      <w:pPr>
        <w:pStyle w:val="ListParagraph"/>
        <w:spacing w:after="200" w:line="276" w:lineRule="auto"/>
        <w:contextualSpacing/>
      </w:pPr>
    </w:p>
    <w:p w:rsidR="0051313C" w:rsidRDefault="0051313C" w:rsidP="0051313C">
      <w:pPr>
        <w:pStyle w:val="ListParagraph"/>
        <w:spacing w:after="200" w:line="276" w:lineRule="auto"/>
        <w:contextualSpacing/>
      </w:pPr>
    </w:p>
    <w:p w:rsidR="0051313C" w:rsidRDefault="0051313C" w:rsidP="0051313C">
      <w:pPr>
        <w:pStyle w:val="ListParagraph"/>
        <w:spacing w:after="200" w:line="276" w:lineRule="auto"/>
        <w:contextualSpacing/>
      </w:pPr>
    </w:p>
    <w:p w:rsidR="0051313C" w:rsidRDefault="0051313C" w:rsidP="0051313C">
      <w:pPr>
        <w:pStyle w:val="ListParagraph"/>
        <w:spacing w:after="200" w:line="276" w:lineRule="auto"/>
        <w:contextualSpacing/>
      </w:pPr>
    </w:p>
    <w:p w:rsidR="0051313C" w:rsidRDefault="0051313C" w:rsidP="0051313C">
      <w:pPr>
        <w:pStyle w:val="ListParagraph"/>
        <w:spacing w:after="200" w:line="276" w:lineRule="auto"/>
        <w:contextualSpacing/>
      </w:pPr>
    </w:p>
    <w:p w:rsidR="0051313C" w:rsidRDefault="0051313C" w:rsidP="0051313C">
      <w:pPr>
        <w:pStyle w:val="ListParagraph"/>
        <w:spacing w:after="200" w:line="276" w:lineRule="auto"/>
        <w:contextualSpacing/>
      </w:pPr>
    </w:p>
    <w:p w:rsidR="0051313C" w:rsidRDefault="0051313C" w:rsidP="0051313C">
      <w:pPr>
        <w:pStyle w:val="ListParagraph"/>
        <w:spacing w:after="200" w:line="276" w:lineRule="auto"/>
        <w:contextualSpacing/>
      </w:pPr>
    </w:p>
    <w:p w:rsidR="00045D26" w:rsidRDefault="00045D26" w:rsidP="0051313C">
      <w:pPr>
        <w:pStyle w:val="ListParagraph"/>
        <w:spacing w:after="200" w:line="276" w:lineRule="auto"/>
        <w:ind w:left="-720" w:hanging="90"/>
        <w:contextualSpacing/>
      </w:pPr>
    </w:p>
    <w:p w:rsidR="00CB5C8F" w:rsidRPr="00CE6264" w:rsidRDefault="00CB5C8F" w:rsidP="009F2DFD">
      <w:pPr>
        <w:pStyle w:val="ListParagraph"/>
        <w:numPr>
          <w:ilvl w:val="0"/>
          <w:numId w:val="3"/>
        </w:numPr>
        <w:spacing w:after="200" w:line="276" w:lineRule="auto"/>
        <w:contextualSpacing/>
      </w:pPr>
      <w:r w:rsidRPr="00CE6264">
        <w:lastRenderedPageBreak/>
        <w:t xml:space="preserve">Benefits of HH linked LNG </w:t>
      </w:r>
    </w:p>
    <w:p w:rsidR="00CB5C8F" w:rsidRDefault="00CB5C8F" w:rsidP="009F2DFD">
      <w:pPr>
        <w:pStyle w:val="ListParagraph"/>
        <w:numPr>
          <w:ilvl w:val="1"/>
          <w:numId w:val="3"/>
        </w:numPr>
        <w:spacing w:after="200" w:line="276" w:lineRule="auto"/>
        <w:ind w:left="720"/>
        <w:contextualSpacing/>
      </w:pPr>
      <w:r>
        <w:t xml:space="preserve">Stability -- </w:t>
      </w:r>
      <w:r w:rsidRPr="00CE6264">
        <w:t xml:space="preserve">HH offers a clear and transparent benchmark linked to the world’s largest, most robustly integrated </w:t>
      </w:r>
      <w:r w:rsidR="00D73E63">
        <w:t xml:space="preserve">and traded natural gas market with over </w:t>
      </w:r>
      <w:r w:rsidRPr="00CE6264">
        <w:t>95 hubs</w:t>
      </w:r>
    </w:p>
    <w:p w:rsidR="0021680A" w:rsidRDefault="00FE27A4" w:rsidP="0021680A">
      <w:pPr>
        <w:pStyle w:val="ListParagraph"/>
        <w:spacing w:after="200" w:line="276" w:lineRule="auto"/>
        <w:contextualSpacing/>
      </w:pPr>
      <w:hyperlink r:id="rId42" w:history="1">
        <w:r w:rsidR="0021680A" w:rsidRPr="00AA21C2">
          <w:rPr>
            <w:rStyle w:val="Hyperlink"/>
          </w:rPr>
          <w:t>https://www.eia.gov/state/maps.cfm</w:t>
        </w:r>
      </w:hyperlink>
    </w:p>
    <w:p w:rsidR="0021680A" w:rsidRPr="0021680A" w:rsidRDefault="0021680A" w:rsidP="0021680A">
      <w:pPr>
        <w:pStyle w:val="ListParagraph"/>
        <w:ind w:left="360"/>
        <w:contextualSpacing/>
        <w:jc w:val="center"/>
        <w:rPr>
          <w:b/>
        </w:rPr>
      </w:pPr>
      <w:r w:rsidRPr="0021680A">
        <w:rPr>
          <w:b/>
        </w:rPr>
        <w:t xml:space="preserve">U.S. Natural Gas </w:t>
      </w:r>
      <w:r>
        <w:rPr>
          <w:b/>
        </w:rPr>
        <w:t>Market Hubs and Pipelines</w:t>
      </w:r>
    </w:p>
    <w:p w:rsidR="0021680A" w:rsidRDefault="0021680A" w:rsidP="0021680A">
      <w:pPr>
        <w:pStyle w:val="ListParagraph"/>
        <w:spacing w:after="200" w:line="276" w:lineRule="auto"/>
        <w:contextualSpacing/>
      </w:pPr>
      <w:r>
        <w:rPr>
          <w:noProof/>
        </w:rPr>
        <w:drawing>
          <wp:inline distT="0" distB="0" distL="0" distR="0" wp14:anchorId="39CA9BCD" wp14:editId="09B71BC6">
            <wp:extent cx="5151120" cy="27965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51120" cy="2796540"/>
                    </a:xfrm>
                    <a:prstGeom prst="rect">
                      <a:avLst/>
                    </a:prstGeom>
                  </pic:spPr>
                </pic:pic>
              </a:graphicData>
            </a:graphic>
          </wp:inline>
        </w:drawing>
      </w:r>
    </w:p>
    <w:p w:rsidR="0021680A" w:rsidRDefault="0021680A" w:rsidP="0021680A">
      <w:pPr>
        <w:pStyle w:val="ListParagraph"/>
        <w:spacing w:after="200" w:line="276" w:lineRule="auto"/>
        <w:contextualSpacing/>
        <w:rPr>
          <w:noProof/>
        </w:rPr>
      </w:pPr>
      <w:r>
        <w:rPr>
          <w:noProof/>
        </w:rPr>
        <w:drawing>
          <wp:inline distT="0" distB="0" distL="0" distR="0" wp14:anchorId="0E342CF9" wp14:editId="68294687">
            <wp:extent cx="1325880" cy="1295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325880" cy="129540"/>
                    </a:xfrm>
                    <a:prstGeom prst="rect">
                      <a:avLst/>
                    </a:prstGeom>
                  </pic:spPr>
                </pic:pic>
              </a:graphicData>
            </a:graphic>
          </wp:inline>
        </w:drawing>
      </w:r>
      <w:r w:rsidRPr="0021680A">
        <w:rPr>
          <w:noProof/>
        </w:rPr>
        <w:t xml:space="preserve"> </w:t>
      </w:r>
      <w:r>
        <w:rPr>
          <w:noProof/>
        </w:rPr>
        <w:drawing>
          <wp:inline distT="0" distB="0" distL="0" distR="0" wp14:anchorId="3F164E73" wp14:editId="1D18ABC8">
            <wp:extent cx="1912620" cy="1295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12620" cy="129540"/>
                    </a:xfrm>
                    <a:prstGeom prst="rect">
                      <a:avLst/>
                    </a:prstGeom>
                  </pic:spPr>
                </pic:pic>
              </a:graphicData>
            </a:graphic>
          </wp:inline>
        </w:drawing>
      </w:r>
    </w:p>
    <w:p w:rsidR="00557CF0" w:rsidRPr="00CE6264" w:rsidRDefault="00557CF0" w:rsidP="0021680A">
      <w:pPr>
        <w:pStyle w:val="ListParagraph"/>
        <w:spacing w:after="200" w:line="276" w:lineRule="auto"/>
        <w:contextualSpacing/>
      </w:pPr>
    </w:p>
    <w:p w:rsidR="00D73E63" w:rsidRDefault="00D73E63" w:rsidP="009F2DFD">
      <w:pPr>
        <w:pStyle w:val="ListParagraph"/>
        <w:numPr>
          <w:ilvl w:val="1"/>
          <w:numId w:val="3"/>
        </w:numPr>
        <w:spacing w:after="200" w:line="276" w:lineRule="auto"/>
        <w:ind w:left="720"/>
        <w:contextualSpacing/>
      </w:pPr>
      <w:r>
        <w:t xml:space="preserve">Liquidity </w:t>
      </w:r>
      <w:r w:rsidR="00557CF0">
        <w:t>-- Henry Hub offers as much liquidity as Brent</w:t>
      </w:r>
    </w:p>
    <w:p w:rsidR="00557CF0" w:rsidRDefault="00557CF0" w:rsidP="00557CF0">
      <w:pPr>
        <w:pStyle w:val="ListParagraph"/>
        <w:spacing w:after="200" w:line="276" w:lineRule="auto"/>
        <w:contextualSpacing/>
      </w:pPr>
      <w:r>
        <w:t>Interpretation of Open Interest Data provided by Bloomberg as of May 3, 2016</w:t>
      </w:r>
    </w:p>
    <w:p w:rsidR="00557CF0" w:rsidRDefault="00557CF0" w:rsidP="00557CF0">
      <w:pPr>
        <w:pStyle w:val="ListParagraph"/>
        <w:spacing w:after="200" w:line="276" w:lineRule="auto"/>
        <w:contextualSpacing/>
        <w:jc w:val="center"/>
      </w:pPr>
      <w:r>
        <w:rPr>
          <w:noProof/>
        </w:rPr>
        <w:drawing>
          <wp:inline distT="0" distB="0" distL="0" distR="0" wp14:anchorId="1C8C33AF">
            <wp:extent cx="5943600" cy="2967205"/>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967205"/>
                    </a:xfrm>
                    <a:prstGeom prst="rect">
                      <a:avLst/>
                    </a:prstGeom>
                    <a:noFill/>
                  </pic:spPr>
                </pic:pic>
              </a:graphicData>
            </a:graphic>
          </wp:inline>
        </w:drawing>
      </w:r>
    </w:p>
    <w:p w:rsidR="00557CF0" w:rsidRDefault="00557CF0" w:rsidP="00557CF0">
      <w:pPr>
        <w:pStyle w:val="ListParagraph"/>
        <w:spacing w:after="200" w:line="276" w:lineRule="auto"/>
        <w:contextualSpacing/>
        <w:jc w:val="center"/>
      </w:pPr>
    </w:p>
    <w:p w:rsidR="00557CF0" w:rsidRDefault="00557CF0" w:rsidP="00557CF0">
      <w:pPr>
        <w:pStyle w:val="ListParagraph"/>
        <w:spacing w:after="200" w:line="276" w:lineRule="auto"/>
        <w:contextualSpacing/>
        <w:jc w:val="center"/>
      </w:pPr>
    </w:p>
    <w:p w:rsidR="00CB5C8F" w:rsidRPr="00CE6264" w:rsidRDefault="00CB5C8F" w:rsidP="009F2DFD">
      <w:pPr>
        <w:pStyle w:val="ListParagraph"/>
        <w:numPr>
          <w:ilvl w:val="1"/>
          <w:numId w:val="3"/>
        </w:numPr>
        <w:spacing w:after="200" w:line="276" w:lineRule="auto"/>
        <w:ind w:left="720"/>
        <w:contextualSpacing/>
      </w:pPr>
      <w:r w:rsidRPr="00CE6264">
        <w:lastRenderedPageBreak/>
        <w:t>Diversification -- Henry Hub linked LNG reduces markets’ dependence on oil for price signals, thereby reducing price and portfolio volatility</w:t>
      </w:r>
    </w:p>
    <w:p w:rsidR="00CB5C8F" w:rsidRPr="00CE6264" w:rsidRDefault="00CB5C8F" w:rsidP="009F2DFD">
      <w:pPr>
        <w:pStyle w:val="ListParagraph"/>
        <w:numPr>
          <w:ilvl w:val="1"/>
          <w:numId w:val="3"/>
        </w:numPr>
        <w:spacing w:after="200" w:line="276" w:lineRule="auto"/>
        <w:ind w:left="720"/>
        <w:contextualSpacing/>
      </w:pPr>
      <w:r w:rsidRPr="00CE6264">
        <w:t>Flexibility – free destination FOB contract terms enable buyers to manage uncertainty and optimize portfolio</w:t>
      </w:r>
    </w:p>
    <w:p w:rsidR="00CB5C8F" w:rsidRPr="00CE6264" w:rsidRDefault="00CB5C8F" w:rsidP="009F2DFD">
      <w:pPr>
        <w:pStyle w:val="ListParagraph"/>
        <w:numPr>
          <w:ilvl w:val="1"/>
          <w:numId w:val="3"/>
        </w:numPr>
        <w:spacing w:after="200" w:line="276" w:lineRule="auto"/>
        <w:ind w:left="720"/>
        <w:contextualSpacing/>
      </w:pPr>
      <w:r w:rsidRPr="00CE6264">
        <w:t>In 5 years, US LNG will nearly double the volume of flexible LNG in the global market</w:t>
      </w:r>
    </w:p>
    <w:p w:rsidR="00CB5C8F" w:rsidRDefault="00FE27A4" w:rsidP="00CB5C8F">
      <w:pPr>
        <w:pStyle w:val="ListParagraph"/>
        <w:rPr>
          <w:rStyle w:val="Hyperlink"/>
          <w:i/>
        </w:rPr>
      </w:pPr>
      <w:hyperlink r:id="rId47" w:history="1">
        <w:r w:rsidR="009F2DFD" w:rsidRPr="00130C9B">
          <w:rPr>
            <w:rStyle w:val="Hyperlink"/>
            <w:i/>
          </w:rPr>
          <w:t>http://www.igu.org/download/file/fid/2123</w:t>
        </w:r>
      </w:hyperlink>
    </w:p>
    <w:p w:rsidR="009F2DFD" w:rsidRDefault="009F2DFD" w:rsidP="00CB5C8F">
      <w:pPr>
        <w:pStyle w:val="ListParagraph"/>
        <w:rPr>
          <w:lang w:val="fr-FR"/>
        </w:rPr>
      </w:pPr>
    </w:p>
    <w:p w:rsidR="006D6ADF" w:rsidRPr="00364B3B" w:rsidRDefault="009F2DFD" w:rsidP="00364B3B">
      <w:pPr>
        <w:pStyle w:val="ListParagraph"/>
        <w:ind w:left="360"/>
        <w:rPr>
          <w:b/>
          <w:i/>
        </w:rPr>
      </w:pPr>
      <w:r w:rsidRPr="00FB170B">
        <w:rPr>
          <w:i/>
        </w:rPr>
        <w:t xml:space="preserve">“In North America, overall market fundamentals drive gas price movements much more than changes in the oil price. Although lower activity in oil and wet gas plays resulting from weaker oil prices is set to reduce the growth of associated gas production, the effect will be minimal relative to the size of US gas production. Further, reduced liquids activity has and will continue to reduce the costs of rigs, crews and equipment, which will benefit operators. </w:t>
      </w:r>
      <w:r w:rsidRPr="001C1EEE">
        <w:rPr>
          <w:b/>
          <w:i/>
        </w:rPr>
        <w:t>Moreover, Henry Hub prices are expected to be primarily determined by gas supply and demand fundamentals such as improved pipeline access to growing Marcellus shale and Utica shale production and end</w:t>
      </w:r>
      <w:r>
        <w:rPr>
          <w:b/>
          <w:i/>
        </w:rPr>
        <w:t xml:space="preserve"> </w:t>
      </w:r>
      <w:r w:rsidRPr="001C1EEE">
        <w:rPr>
          <w:b/>
          <w:i/>
        </w:rPr>
        <w:t>market fuel competition with coal or renewables in the power sector, all of which put downward pressure on prices</w:t>
      </w:r>
      <w:r w:rsidRPr="00FB170B">
        <w:rPr>
          <w:i/>
        </w:rPr>
        <w:t xml:space="preserve">. For the first time in over 15 years, Henry Hub prices averaged below $3.00/MMBtu in every month in 2015, with an annual average of $2.61/MMBtu. </w:t>
      </w:r>
      <w:r w:rsidRPr="0027788E">
        <w:rPr>
          <w:b/>
          <w:i/>
        </w:rPr>
        <w:t>Lower oil prices may have decreased the spread between oil-linked and US LNG contracts in the near</w:t>
      </w:r>
      <w:r>
        <w:rPr>
          <w:b/>
          <w:i/>
        </w:rPr>
        <w:t xml:space="preserve"> </w:t>
      </w:r>
      <w:r w:rsidRPr="0027788E">
        <w:rPr>
          <w:b/>
          <w:i/>
        </w:rPr>
        <w:t>term, but the lower starting point of US prices and abundant downside market fundamentals risks mean that US LNG contracts may offer buyers reduced price volatility over the next few years.”</w:t>
      </w:r>
    </w:p>
    <w:p w:rsidR="00364B3B" w:rsidRDefault="00364B3B" w:rsidP="00CB5C8F">
      <w:pPr>
        <w:rPr>
          <w:lang w:val="fr-FR"/>
        </w:rPr>
      </w:pPr>
    </w:p>
    <w:p w:rsidR="00F94C0E" w:rsidRPr="00F94C0E" w:rsidRDefault="00F94C0E" w:rsidP="00F94C0E">
      <w:pPr>
        <w:pStyle w:val="ListParagraph"/>
        <w:numPr>
          <w:ilvl w:val="0"/>
          <w:numId w:val="3"/>
        </w:numPr>
        <w:rPr>
          <w:lang w:val="fr-FR"/>
        </w:rPr>
      </w:pPr>
      <w:r>
        <w:t>Conclusion:  EIA predicts relatively stable Henry Hub price while Brent price returns to historic highs.</w:t>
      </w:r>
    </w:p>
    <w:p w:rsidR="00F94C0E" w:rsidRDefault="00FE27A4" w:rsidP="00F94C0E">
      <w:pPr>
        <w:pStyle w:val="ListParagraph"/>
        <w:ind w:left="360"/>
        <w:rPr>
          <w:lang w:val="fr-FR"/>
        </w:rPr>
      </w:pPr>
      <w:hyperlink r:id="rId48" w:history="1">
        <w:r w:rsidR="00F94C0E" w:rsidRPr="007503FF">
          <w:rPr>
            <w:rStyle w:val="Hyperlink"/>
            <w:lang w:val="fr-FR"/>
          </w:rPr>
          <w:t>http://www.eia.gov/forecasts/aeo/pdf/0383(2016).pdf</w:t>
        </w:r>
      </w:hyperlink>
    </w:p>
    <w:p w:rsidR="00F94C0E" w:rsidRPr="00F94C0E" w:rsidRDefault="00F94C0E" w:rsidP="00F94C0E">
      <w:pPr>
        <w:pStyle w:val="ListParagraph"/>
        <w:ind w:left="360"/>
        <w:rPr>
          <w:lang w:val="fr-FR"/>
        </w:rPr>
      </w:pPr>
    </w:p>
    <w:p w:rsidR="00F94C0E" w:rsidRDefault="00F94C0E" w:rsidP="00F94C0E">
      <w:pPr>
        <w:jc w:val="center"/>
        <w:rPr>
          <w:lang w:val="fr-FR"/>
        </w:rPr>
      </w:pPr>
      <w:r>
        <w:rPr>
          <w:noProof/>
        </w:rPr>
        <w:drawing>
          <wp:inline distT="0" distB="0" distL="0" distR="0" wp14:anchorId="3D204D44" wp14:editId="25631D80">
            <wp:extent cx="3657600" cy="33620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57600" cy="3362036"/>
                    </a:xfrm>
                    <a:prstGeom prst="rect">
                      <a:avLst/>
                    </a:prstGeom>
                  </pic:spPr>
                </pic:pic>
              </a:graphicData>
            </a:graphic>
          </wp:inline>
        </w:drawing>
      </w:r>
    </w:p>
    <w:p w:rsidR="00F94C0E" w:rsidRDefault="00F94C0E" w:rsidP="00CB5C8F">
      <w:pPr>
        <w:rPr>
          <w:lang w:val="fr-FR"/>
        </w:rPr>
      </w:pPr>
    </w:p>
    <w:p w:rsidR="00CB5C8F" w:rsidRDefault="00364B3B" w:rsidP="00CB5C8F">
      <w:r>
        <w:rPr>
          <w:noProof/>
        </w:rPr>
        <w:lastRenderedPageBreak/>
        <w:drawing>
          <wp:anchor distT="0" distB="0" distL="114300" distR="114300" simplePos="0" relativeHeight="251661312" behindDoc="1" locked="0" layoutInCell="1" allowOverlap="1" wp14:anchorId="33B688BB" wp14:editId="7CA839FC">
            <wp:simplePos x="0" y="0"/>
            <wp:positionH relativeFrom="column">
              <wp:posOffset>727710</wp:posOffset>
            </wp:positionH>
            <wp:positionV relativeFrom="paragraph">
              <wp:posOffset>600710</wp:posOffset>
            </wp:positionV>
            <wp:extent cx="4260215" cy="3081655"/>
            <wp:effectExtent l="0" t="0" r="6985" b="4445"/>
            <wp:wrapTight wrapText="bothSides">
              <wp:wrapPolygon edited="0">
                <wp:start x="0" y="0"/>
                <wp:lineTo x="0" y="21498"/>
                <wp:lineTo x="21539" y="21498"/>
                <wp:lineTo x="2153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260215" cy="3081655"/>
                    </a:xfrm>
                    <a:prstGeom prst="rect">
                      <a:avLst/>
                    </a:prstGeom>
                  </pic:spPr>
                </pic:pic>
              </a:graphicData>
            </a:graphic>
            <wp14:sizeRelH relativeFrom="page">
              <wp14:pctWidth>0</wp14:pctWidth>
            </wp14:sizeRelH>
            <wp14:sizeRelV relativeFrom="page">
              <wp14:pctHeight>0</wp14:pctHeight>
            </wp14:sizeRelV>
          </wp:anchor>
        </w:drawing>
      </w:r>
      <w:r w:rsidR="00F94C0E">
        <w:rPr>
          <w:lang w:val="fr-FR"/>
        </w:rPr>
        <w:t>Additional</w:t>
      </w:r>
      <w:r w:rsidR="00CB5C8F" w:rsidRPr="006D6ADF">
        <w:rPr>
          <w:lang w:val="fr-FR"/>
        </w:rPr>
        <w:t xml:space="preserve"> Sources:</w:t>
      </w:r>
      <w:r>
        <w:rPr>
          <w:lang w:val="fr-FR"/>
        </w:rPr>
        <w:br/>
      </w:r>
      <w:r w:rsidR="00CB5C8F" w:rsidRPr="00CE6264">
        <w:rPr>
          <w:i/>
          <w:iCs/>
        </w:rPr>
        <w:t>S</w:t>
      </w:r>
      <w:r w:rsidR="00CB5C8F" w:rsidRPr="00CB5C8F">
        <w:rPr>
          <w:i/>
          <w:iCs/>
        </w:rPr>
        <w:t>ou</w:t>
      </w:r>
      <w:r w:rsidR="00CB5C8F" w:rsidRPr="00CB5C8F">
        <w:rPr>
          <w:i/>
        </w:rPr>
        <w:t>rce</w:t>
      </w:r>
      <w:r w:rsidR="00CB5C8F" w:rsidRPr="00CE6264">
        <w:t xml:space="preserve">: example of higher efficiencies driving down costs: </w:t>
      </w:r>
      <w:hyperlink r:id="rId51" w:history="1">
        <w:r w:rsidR="009F2DFD" w:rsidRPr="007519FE">
          <w:rPr>
            <w:rStyle w:val="Hyperlink"/>
          </w:rPr>
          <w:t>http://www.eia.gov/conference/2015/pdf/presentations/farquharson.pdf</w:t>
        </w:r>
      </w:hyperlink>
      <w:r w:rsidR="009F2DFD">
        <w:t xml:space="preserve"> </w:t>
      </w:r>
    </w:p>
    <w:p w:rsidR="00DA184E" w:rsidRDefault="00FE27A4" w:rsidP="00CB5C8F">
      <w:pPr>
        <w:jc w:val="center"/>
      </w:pPr>
    </w:p>
    <w:sectPr w:rsidR="00DA184E">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AFC" w:rsidRDefault="00065AFC">
      <w:pPr>
        <w:spacing w:after="0" w:line="240" w:lineRule="auto"/>
      </w:pPr>
      <w:r>
        <w:separator/>
      </w:r>
    </w:p>
  </w:endnote>
  <w:endnote w:type="continuationSeparator" w:id="0">
    <w:p w:rsidR="00065AFC" w:rsidRDefault="00065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532190"/>
      <w:docPartObj>
        <w:docPartGallery w:val="Page Numbers (Bottom of Page)"/>
        <w:docPartUnique/>
      </w:docPartObj>
    </w:sdtPr>
    <w:sdtEndPr>
      <w:rPr>
        <w:noProof/>
      </w:rPr>
    </w:sdtEndPr>
    <w:sdtContent>
      <w:p w:rsidR="00AD29D2" w:rsidRDefault="00950158">
        <w:pPr>
          <w:pStyle w:val="Footer"/>
          <w:jc w:val="right"/>
        </w:pPr>
        <w:r>
          <w:fldChar w:fldCharType="begin"/>
        </w:r>
        <w:r>
          <w:instrText xml:space="preserve"> PAGE   \* MERGEFORMAT </w:instrText>
        </w:r>
        <w:r>
          <w:fldChar w:fldCharType="separate"/>
        </w:r>
        <w:r w:rsidR="00FE27A4">
          <w:rPr>
            <w:noProof/>
          </w:rPr>
          <w:t>2</w:t>
        </w:r>
        <w:r>
          <w:rPr>
            <w:noProof/>
          </w:rPr>
          <w:fldChar w:fldCharType="end"/>
        </w:r>
      </w:p>
    </w:sdtContent>
  </w:sdt>
  <w:p w:rsidR="00AD29D2" w:rsidRDefault="00FE27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AFC" w:rsidRDefault="00065AFC">
      <w:pPr>
        <w:spacing w:after="0" w:line="240" w:lineRule="auto"/>
      </w:pPr>
      <w:r>
        <w:separator/>
      </w:r>
    </w:p>
  </w:footnote>
  <w:footnote w:type="continuationSeparator" w:id="0">
    <w:p w:rsidR="00065AFC" w:rsidRDefault="00065A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F5BAE"/>
    <w:multiLevelType w:val="hybridMultilevel"/>
    <w:tmpl w:val="CAF0DCA8"/>
    <w:lvl w:ilvl="0" w:tplc="0409000F">
      <w:start w:val="1"/>
      <w:numFmt w:val="decimal"/>
      <w:lvlText w:val="%1."/>
      <w:lvlJc w:val="left"/>
      <w:pPr>
        <w:ind w:left="360" w:hanging="360"/>
      </w:pPr>
    </w:lvl>
    <w:lvl w:ilvl="1" w:tplc="C5085E0C">
      <w:start w:val="1"/>
      <w:numFmt w:val="lowerLetter"/>
      <w:lvlText w:val="%2."/>
      <w:lvlJc w:val="left"/>
      <w:pPr>
        <w:ind w:left="1440" w:hanging="360"/>
      </w:pPr>
      <w:rPr>
        <w:color w:val="00000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632302BA"/>
    <w:multiLevelType w:val="hybridMultilevel"/>
    <w:tmpl w:val="CAF0DCA8"/>
    <w:lvl w:ilvl="0" w:tplc="0409000F">
      <w:start w:val="1"/>
      <w:numFmt w:val="decimal"/>
      <w:lvlText w:val="%1."/>
      <w:lvlJc w:val="left"/>
      <w:pPr>
        <w:ind w:left="360" w:hanging="360"/>
      </w:pPr>
    </w:lvl>
    <w:lvl w:ilvl="1" w:tplc="C5085E0C">
      <w:start w:val="1"/>
      <w:numFmt w:val="lowerLetter"/>
      <w:lvlText w:val="%2."/>
      <w:lvlJc w:val="left"/>
      <w:pPr>
        <w:ind w:left="1440" w:hanging="360"/>
      </w:pPr>
      <w:rPr>
        <w:color w:val="00000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C8F"/>
    <w:rsid w:val="000204B7"/>
    <w:rsid w:val="00045D26"/>
    <w:rsid w:val="00065AFC"/>
    <w:rsid w:val="000815DD"/>
    <w:rsid w:val="000C3EF9"/>
    <w:rsid w:val="000D5B74"/>
    <w:rsid w:val="0021680A"/>
    <w:rsid w:val="002A6E58"/>
    <w:rsid w:val="002C469B"/>
    <w:rsid w:val="00364B3B"/>
    <w:rsid w:val="00465013"/>
    <w:rsid w:val="00483C34"/>
    <w:rsid w:val="0051313C"/>
    <w:rsid w:val="00557CF0"/>
    <w:rsid w:val="006D6ADF"/>
    <w:rsid w:val="006E0DD0"/>
    <w:rsid w:val="008E4F7D"/>
    <w:rsid w:val="00950158"/>
    <w:rsid w:val="009C4F14"/>
    <w:rsid w:val="009F2DFD"/>
    <w:rsid w:val="00A37C5E"/>
    <w:rsid w:val="00A8245B"/>
    <w:rsid w:val="00AC2240"/>
    <w:rsid w:val="00C73410"/>
    <w:rsid w:val="00CB5C8F"/>
    <w:rsid w:val="00D25700"/>
    <w:rsid w:val="00D70313"/>
    <w:rsid w:val="00D73E63"/>
    <w:rsid w:val="00F94C0E"/>
    <w:rsid w:val="00FE2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C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C8F"/>
    <w:rPr>
      <w:color w:val="0563C1"/>
      <w:u w:val="single"/>
    </w:rPr>
  </w:style>
  <w:style w:type="paragraph" w:styleId="ListParagraph">
    <w:name w:val="List Paragraph"/>
    <w:basedOn w:val="Normal"/>
    <w:uiPriority w:val="34"/>
    <w:qFormat/>
    <w:rsid w:val="00CB5C8F"/>
    <w:pPr>
      <w:spacing w:after="0" w:line="240" w:lineRule="auto"/>
      <w:ind w:left="720"/>
    </w:pPr>
    <w:rPr>
      <w:rFonts w:ascii="Calibri" w:hAnsi="Calibri" w:cs="Times New Roman"/>
    </w:rPr>
  </w:style>
  <w:style w:type="table" w:styleId="TableGrid">
    <w:name w:val="Table Grid"/>
    <w:basedOn w:val="TableNormal"/>
    <w:uiPriority w:val="59"/>
    <w:rsid w:val="00CB5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B5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C8F"/>
  </w:style>
  <w:style w:type="character" w:styleId="FollowedHyperlink">
    <w:name w:val="FollowedHyperlink"/>
    <w:basedOn w:val="DefaultParagraphFont"/>
    <w:uiPriority w:val="99"/>
    <w:semiHidden/>
    <w:unhideWhenUsed/>
    <w:rsid w:val="00CB5C8F"/>
    <w:rPr>
      <w:color w:val="800080" w:themeColor="followedHyperlink"/>
      <w:u w:val="single"/>
    </w:rPr>
  </w:style>
  <w:style w:type="paragraph" w:styleId="BalloonText">
    <w:name w:val="Balloon Text"/>
    <w:basedOn w:val="Normal"/>
    <w:link w:val="BalloonTextChar"/>
    <w:uiPriority w:val="99"/>
    <w:semiHidden/>
    <w:unhideWhenUsed/>
    <w:rsid w:val="00CB5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C8F"/>
    <w:rPr>
      <w:rFonts w:ascii="Tahoma" w:hAnsi="Tahoma" w:cs="Tahoma"/>
      <w:sz w:val="16"/>
      <w:szCs w:val="16"/>
    </w:rPr>
  </w:style>
  <w:style w:type="character" w:styleId="CommentReference">
    <w:name w:val="annotation reference"/>
    <w:basedOn w:val="DefaultParagraphFont"/>
    <w:uiPriority w:val="99"/>
    <w:semiHidden/>
    <w:unhideWhenUsed/>
    <w:rsid w:val="00A37C5E"/>
    <w:rPr>
      <w:sz w:val="16"/>
      <w:szCs w:val="16"/>
    </w:rPr>
  </w:style>
  <w:style w:type="paragraph" w:styleId="CommentText">
    <w:name w:val="annotation text"/>
    <w:basedOn w:val="Normal"/>
    <w:link w:val="CommentTextChar"/>
    <w:uiPriority w:val="99"/>
    <w:semiHidden/>
    <w:unhideWhenUsed/>
    <w:rsid w:val="00A37C5E"/>
    <w:pPr>
      <w:spacing w:line="240" w:lineRule="auto"/>
    </w:pPr>
    <w:rPr>
      <w:sz w:val="20"/>
      <w:szCs w:val="20"/>
    </w:rPr>
  </w:style>
  <w:style w:type="character" w:customStyle="1" w:styleId="CommentTextChar">
    <w:name w:val="Comment Text Char"/>
    <w:basedOn w:val="DefaultParagraphFont"/>
    <w:link w:val="CommentText"/>
    <w:uiPriority w:val="99"/>
    <w:semiHidden/>
    <w:rsid w:val="00A37C5E"/>
    <w:rPr>
      <w:sz w:val="20"/>
      <w:szCs w:val="20"/>
    </w:rPr>
  </w:style>
  <w:style w:type="paragraph" w:styleId="CommentSubject">
    <w:name w:val="annotation subject"/>
    <w:basedOn w:val="CommentText"/>
    <w:next w:val="CommentText"/>
    <w:link w:val="CommentSubjectChar"/>
    <w:uiPriority w:val="99"/>
    <w:semiHidden/>
    <w:unhideWhenUsed/>
    <w:rsid w:val="00A37C5E"/>
    <w:rPr>
      <w:b/>
      <w:bCs/>
    </w:rPr>
  </w:style>
  <w:style w:type="character" w:customStyle="1" w:styleId="CommentSubjectChar">
    <w:name w:val="Comment Subject Char"/>
    <w:basedOn w:val="CommentTextChar"/>
    <w:link w:val="CommentSubject"/>
    <w:uiPriority w:val="99"/>
    <w:semiHidden/>
    <w:rsid w:val="00A37C5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C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C8F"/>
    <w:rPr>
      <w:color w:val="0563C1"/>
      <w:u w:val="single"/>
    </w:rPr>
  </w:style>
  <w:style w:type="paragraph" w:styleId="ListParagraph">
    <w:name w:val="List Paragraph"/>
    <w:basedOn w:val="Normal"/>
    <w:uiPriority w:val="34"/>
    <w:qFormat/>
    <w:rsid w:val="00CB5C8F"/>
    <w:pPr>
      <w:spacing w:after="0" w:line="240" w:lineRule="auto"/>
      <w:ind w:left="720"/>
    </w:pPr>
    <w:rPr>
      <w:rFonts w:ascii="Calibri" w:hAnsi="Calibri" w:cs="Times New Roman"/>
    </w:rPr>
  </w:style>
  <w:style w:type="table" w:styleId="TableGrid">
    <w:name w:val="Table Grid"/>
    <w:basedOn w:val="TableNormal"/>
    <w:uiPriority w:val="59"/>
    <w:rsid w:val="00CB5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B5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C8F"/>
  </w:style>
  <w:style w:type="character" w:styleId="FollowedHyperlink">
    <w:name w:val="FollowedHyperlink"/>
    <w:basedOn w:val="DefaultParagraphFont"/>
    <w:uiPriority w:val="99"/>
    <w:semiHidden/>
    <w:unhideWhenUsed/>
    <w:rsid w:val="00CB5C8F"/>
    <w:rPr>
      <w:color w:val="800080" w:themeColor="followedHyperlink"/>
      <w:u w:val="single"/>
    </w:rPr>
  </w:style>
  <w:style w:type="paragraph" w:styleId="BalloonText">
    <w:name w:val="Balloon Text"/>
    <w:basedOn w:val="Normal"/>
    <w:link w:val="BalloonTextChar"/>
    <w:uiPriority w:val="99"/>
    <w:semiHidden/>
    <w:unhideWhenUsed/>
    <w:rsid w:val="00CB5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C8F"/>
    <w:rPr>
      <w:rFonts w:ascii="Tahoma" w:hAnsi="Tahoma" w:cs="Tahoma"/>
      <w:sz w:val="16"/>
      <w:szCs w:val="16"/>
    </w:rPr>
  </w:style>
  <w:style w:type="character" w:styleId="CommentReference">
    <w:name w:val="annotation reference"/>
    <w:basedOn w:val="DefaultParagraphFont"/>
    <w:uiPriority w:val="99"/>
    <w:semiHidden/>
    <w:unhideWhenUsed/>
    <w:rsid w:val="00A37C5E"/>
    <w:rPr>
      <w:sz w:val="16"/>
      <w:szCs w:val="16"/>
    </w:rPr>
  </w:style>
  <w:style w:type="paragraph" w:styleId="CommentText">
    <w:name w:val="annotation text"/>
    <w:basedOn w:val="Normal"/>
    <w:link w:val="CommentTextChar"/>
    <w:uiPriority w:val="99"/>
    <w:semiHidden/>
    <w:unhideWhenUsed/>
    <w:rsid w:val="00A37C5E"/>
    <w:pPr>
      <w:spacing w:line="240" w:lineRule="auto"/>
    </w:pPr>
    <w:rPr>
      <w:sz w:val="20"/>
      <w:szCs w:val="20"/>
    </w:rPr>
  </w:style>
  <w:style w:type="character" w:customStyle="1" w:styleId="CommentTextChar">
    <w:name w:val="Comment Text Char"/>
    <w:basedOn w:val="DefaultParagraphFont"/>
    <w:link w:val="CommentText"/>
    <w:uiPriority w:val="99"/>
    <w:semiHidden/>
    <w:rsid w:val="00A37C5E"/>
    <w:rPr>
      <w:sz w:val="20"/>
      <w:szCs w:val="20"/>
    </w:rPr>
  </w:style>
  <w:style w:type="paragraph" w:styleId="CommentSubject">
    <w:name w:val="annotation subject"/>
    <w:basedOn w:val="CommentText"/>
    <w:next w:val="CommentText"/>
    <w:link w:val="CommentSubjectChar"/>
    <w:uiPriority w:val="99"/>
    <w:semiHidden/>
    <w:unhideWhenUsed/>
    <w:rsid w:val="00A37C5E"/>
    <w:rPr>
      <w:b/>
      <w:bCs/>
    </w:rPr>
  </w:style>
  <w:style w:type="character" w:customStyle="1" w:styleId="CommentSubjectChar">
    <w:name w:val="Comment Subject Char"/>
    <w:basedOn w:val="CommentTextChar"/>
    <w:link w:val="CommentSubject"/>
    <w:uiPriority w:val="99"/>
    <w:semiHidden/>
    <w:rsid w:val="00A37C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805432">
      <w:bodyDiv w:val="1"/>
      <w:marLeft w:val="0"/>
      <w:marRight w:val="0"/>
      <w:marTop w:val="0"/>
      <w:marBottom w:val="0"/>
      <w:divBdr>
        <w:top w:val="none" w:sz="0" w:space="0" w:color="auto"/>
        <w:left w:val="none" w:sz="0" w:space="0" w:color="auto"/>
        <w:bottom w:val="none" w:sz="0" w:space="0" w:color="auto"/>
        <w:right w:val="none" w:sz="0" w:space="0" w:color="auto"/>
      </w:divBdr>
    </w:div>
    <w:div w:id="140406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hyperlink" Target="https://www.eia.gov/todayinenergy/detail.cfm?id=26112" TargetMode="External"/><Relationship Id="rId34" Type="http://schemas.openxmlformats.org/officeDocument/2006/relationships/hyperlink" Target="http://energy.gov/sites/prod/files/2015/12/f27/20151113_macro_impact_of_lng_exports_0.pdf" TargetMode="External"/><Relationship Id="rId42" Type="http://schemas.openxmlformats.org/officeDocument/2006/relationships/hyperlink" Target="https://www.eia.gov/state/maps.cfm" TargetMode="External"/><Relationship Id="rId47" Type="http://schemas.openxmlformats.org/officeDocument/2006/relationships/hyperlink" Target="http://www.igu.org/download/file/fid/2123" TargetMode="External"/><Relationship Id="rId50"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www.eia.gov/todayinenergy/detail.cfm?id=26032" TargetMode="External"/><Relationship Id="rId17" Type="http://schemas.openxmlformats.org/officeDocument/2006/relationships/hyperlink" Target="http://anga.us/media/press/9560DB3C-5056-9F69-D44B532072C51F75/files/ANGA%20-%20Carpe%20Diem%20-%20LNG%20Exports.pdf" TargetMode="External"/><Relationship Id="rId25" Type="http://schemas.openxmlformats.org/officeDocument/2006/relationships/image" Target="media/image8.png"/><Relationship Id="rId33" Type="http://schemas.openxmlformats.org/officeDocument/2006/relationships/hyperlink" Target="http://www.eia.gov/analysis/requests/fe/" TargetMode="External"/><Relationship Id="rId38" Type="http://schemas.openxmlformats.org/officeDocument/2006/relationships/image" Target="media/image15.emf"/><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potentialgas.org/" TargetMode="External"/><Relationship Id="rId20" Type="http://schemas.openxmlformats.org/officeDocument/2006/relationships/chart" Target="charts/chart1.xml"/><Relationship Id="rId29" Type="http://schemas.openxmlformats.org/officeDocument/2006/relationships/image" Target="media/image12.pn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eia.gov/todayinenergy/detail.cfm?id=26112"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www.igu.org/download/file/fid/2123" TargetMode="External"/><Relationship Id="rId40" Type="http://schemas.openxmlformats.org/officeDocument/2006/relationships/hyperlink" Target="http://www.igu.org/download/file/fid/2123" TargetMode="External"/><Relationship Id="rId45" Type="http://schemas.openxmlformats.org/officeDocument/2006/relationships/image" Target="media/image2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press.ihs.com/press-release/north-americas-unconventional-natural-gas-resource-base-continues-expand-volume-and-de" TargetMode="External"/><Relationship Id="rId49"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hyperlink" Target="https://www.eia.gov/dnav/ng/hist/rngwhhdA.htm" TargetMode="External"/><Relationship Id="rId31" Type="http://schemas.openxmlformats.org/officeDocument/2006/relationships/hyperlink" Target="https://www.eia.gov/todayinenergy/detail.cfm?id=25832" TargetMode="External"/><Relationship Id="rId44" Type="http://schemas.openxmlformats.org/officeDocument/2006/relationships/image" Target="media/image19.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eia.gov/forecasts/aeo/pdf/0383(2015).pdf" TargetMode="External"/><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hyperlink" Target="http://www.eia.gov/naturalgas/weekly/archive/2016/03_17/" TargetMode="External"/><Relationship Id="rId35" Type="http://schemas.openxmlformats.org/officeDocument/2006/relationships/image" Target="media/image14.emf"/><Relationship Id="rId43" Type="http://schemas.openxmlformats.org/officeDocument/2006/relationships/image" Target="media/image18.png"/><Relationship Id="rId48" Type="http://schemas.openxmlformats.org/officeDocument/2006/relationships/hyperlink" Target="http://www.eia.gov/forecasts/aeo/pdf/0383(2016).pdf" TargetMode="External"/><Relationship Id="rId8" Type="http://schemas.openxmlformats.org/officeDocument/2006/relationships/hyperlink" Target="http://www.eia.gov/dnav/ng/hist/n9050us2a.htm" TargetMode="External"/><Relationship Id="rId51" Type="http://schemas.openxmlformats.org/officeDocument/2006/relationships/hyperlink" Target="http://www.eia.gov/conference/2015/pdf/presentations/farquharson.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lon-fsgen01p.corp.chex1.com\swhite$\Henry%20Hub%20White%20Paper\16.06.01%20App%20Basis%20Differenti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US" sz="1050"/>
              <a:t>Annual Average Henry Hub Price</a:t>
            </a:r>
            <a:r>
              <a:rPr lang="en-US" sz="1050" baseline="0"/>
              <a:t> (2000-2015)</a:t>
            </a:r>
          </a:p>
          <a:p>
            <a:pPr algn="l">
              <a:defRPr/>
            </a:pPr>
            <a:r>
              <a:rPr lang="en-US" sz="1000" b="0" baseline="0"/>
              <a:t>$ per mmbtu</a:t>
            </a:r>
          </a:p>
        </c:rich>
      </c:tx>
      <c:layout>
        <c:manualLayout>
          <c:xMode val="edge"/>
          <c:yMode val="edge"/>
          <c:x val="7.3600174978127625E-4"/>
          <c:y val="2.7777777777777776E-2"/>
        </c:manualLayout>
      </c:layout>
      <c:overlay val="0"/>
    </c:title>
    <c:autoTitleDeleted val="0"/>
    <c:plotArea>
      <c:layout>
        <c:manualLayout>
          <c:layoutTarget val="inner"/>
          <c:xMode val="edge"/>
          <c:yMode val="edge"/>
          <c:x val="0.13002077865266842"/>
          <c:y val="0.20380249343832016"/>
          <c:w val="0.8483630796150482"/>
          <c:h val="0.67248541848935561"/>
        </c:manualLayout>
      </c:layout>
      <c:barChart>
        <c:barDir val="col"/>
        <c:grouping val="clustered"/>
        <c:varyColors val="0"/>
        <c:ser>
          <c:idx val="0"/>
          <c:order val="0"/>
          <c:invertIfNegative val="0"/>
          <c:cat>
            <c:numRef>
              <c:f>Sheet1!$B$7:$S$7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Sheet1!$B$8:$Q$8</c:f>
              <c:numCache>
                <c:formatCode>_("$"* #,##0.00_);_("$"* \(#,##0.00\);_("$"* "-"??_);_(@_)</c:formatCode>
                <c:ptCount val="16"/>
                <c:pt idx="0">
                  <c:v>4.3099999999999996</c:v>
                </c:pt>
                <c:pt idx="1">
                  <c:v>3.96</c:v>
                </c:pt>
                <c:pt idx="2">
                  <c:v>3.38</c:v>
                </c:pt>
                <c:pt idx="3">
                  <c:v>5.47</c:v>
                </c:pt>
                <c:pt idx="4">
                  <c:v>5.89</c:v>
                </c:pt>
                <c:pt idx="5">
                  <c:v>8.69</c:v>
                </c:pt>
                <c:pt idx="6">
                  <c:v>6.73</c:v>
                </c:pt>
                <c:pt idx="7">
                  <c:v>6.97</c:v>
                </c:pt>
                <c:pt idx="8">
                  <c:v>8.86</c:v>
                </c:pt>
                <c:pt idx="9">
                  <c:v>3.94</c:v>
                </c:pt>
                <c:pt idx="10">
                  <c:v>4.37</c:v>
                </c:pt>
                <c:pt idx="11">
                  <c:v>4</c:v>
                </c:pt>
                <c:pt idx="12">
                  <c:v>2.75</c:v>
                </c:pt>
                <c:pt idx="13">
                  <c:v>3.73</c:v>
                </c:pt>
                <c:pt idx="14">
                  <c:v>4.37</c:v>
                </c:pt>
                <c:pt idx="15">
                  <c:v>2.62</c:v>
                </c:pt>
              </c:numCache>
            </c:numRef>
          </c:val>
        </c:ser>
        <c:dLbls>
          <c:showLegendKey val="0"/>
          <c:showVal val="0"/>
          <c:showCatName val="0"/>
          <c:showSerName val="0"/>
          <c:showPercent val="0"/>
          <c:showBubbleSize val="0"/>
        </c:dLbls>
        <c:gapWidth val="150"/>
        <c:axId val="228148352"/>
        <c:axId val="228149888"/>
      </c:barChart>
      <c:catAx>
        <c:axId val="228148352"/>
        <c:scaling>
          <c:orientation val="minMax"/>
        </c:scaling>
        <c:delete val="0"/>
        <c:axPos val="b"/>
        <c:numFmt formatCode="General" sourceLinked="1"/>
        <c:majorTickMark val="out"/>
        <c:minorTickMark val="none"/>
        <c:tickLblPos val="nextTo"/>
        <c:crossAx val="228149888"/>
        <c:crosses val="autoZero"/>
        <c:auto val="1"/>
        <c:lblAlgn val="ctr"/>
        <c:lblOffset val="100"/>
        <c:tickLblSkip val="3"/>
        <c:noMultiLvlLbl val="0"/>
      </c:catAx>
      <c:valAx>
        <c:axId val="228149888"/>
        <c:scaling>
          <c:orientation val="minMax"/>
        </c:scaling>
        <c:delete val="0"/>
        <c:axPos val="l"/>
        <c:majorGridlines/>
        <c:numFmt formatCode="_(&quot;$&quot;* #,##0.00_);_(&quot;$&quot;* \(#,##0.00\);_(&quot;$&quot;* &quot;-&quot;??_);_(@_)" sourceLinked="1"/>
        <c:majorTickMark val="out"/>
        <c:minorTickMark val="none"/>
        <c:tickLblPos val="nextTo"/>
        <c:crossAx val="228148352"/>
        <c:crosses val="autoZero"/>
        <c:crossBetween val="between"/>
        <c:majorUnit val="2"/>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69685039370081"/>
          <c:y val="8.3807961504811887E-2"/>
          <c:w val="0.84474759405074351"/>
          <c:h val="0.60140237678623509"/>
        </c:manualLayout>
      </c:layout>
      <c:barChart>
        <c:barDir val="col"/>
        <c:grouping val="clustered"/>
        <c:varyColors val="0"/>
        <c:ser>
          <c:idx val="2"/>
          <c:order val="0"/>
          <c:tx>
            <c:v>Appalachia Discount</c:v>
          </c:tx>
          <c:invertIfNegative val="0"/>
          <c:val>
            <c:numRef>
              <c:f>Sheet4!$D$2:$D$126</c:f>
              <c:numCache>
                <c:formatCode>_("$"* #,##0.00_);_("$"* \(#,##0.00\);_("$"* "-"??_);_(@_)</c:formatCode>
                <c:ptCount val="125"/>
                <c:pt idx="0">
                  <c:v>-4.6000000000001151E-2</c:v>
                </c:pt>
                <c:pt idx="1">
                  <c:v>0.42599999999999927</c:v>
                </c:pt>
                <c:pt idx="2">
                  <c:v>0.17999999999999972</c:v>
                </c:pt>
                <c:pt idx="3">
                  <c:v>0.38500000000000068</c:v>
                </c:pt>
                <c:pt idx="4">
                  <c:v>-1.4000000000000234E-2</c:v>
                </c:pt>
                <c:pt idx="5">
                  <c:v>-2.4000000000000021E-2</c:v>
                </c:pt>
                <c:pt idx="6">
                  <c:v>0.5389999999999997</c:v>
                </c:pt>
                <c:pt idx="7">
                  <c:v>9.1999999999999638E-2</c:v>
                </c:pt>
                <c:pt idx="8">
                  <c:v>-1.92</c:v>
                </c:pt>
                <c:pt idx="9">
                  <c:v>-0.4740000000000002</c:v>
                </c:pt>
                <c:pt idx="10">
                  <c:v>-0.23399999999999999</c:v>
                </c:pt>
                <c:pt idx="11">
                  <c:v>-0.58900000000000041</c:v>
                </c:pt>
                <c:pt idx="12">
                  <c:v>0.54300000000000104</c:v>
                </c:pt>
                <c:pt idx="13">
                  <c:v>0.29000000000000004</c:v>
                </c:pt>
                <c:pt idx="14">
                  <c:v>0.25999999999999979</c:v>
                </c:pt>
                <c:pt idx="15">
                  <c:v>0.3069999999999995</c:v>
                </c:pt>
                <c:pt idx="16">
                  <c:v>0.46500000000000075</c:v>
                </c:pt>
                <c:pt idx="17">
                  <c:v>7.0000000000005613E-3</c:v>
                </c:pt>
                <c:pt idx="18">
                  <c:v>0.78900000000000059</c:v>
                </c:pt>
                <c:pt idx="19">
                  <c:v>0.21199999999999974</c:v>
                </c:pt>
                <c:pt idx="20">
                  <c:v>-0.58000000000000007</c:v>
                </c:pt>
                <c:pt idx="21">
                  <c:v>-0.79</c:v>
                </c:pt>
                <c:pt idx="22">
                  <c:v>0.50800000000000001</c:v>
                </c:pt>
                <c:pt idx="23">
                  <c:v>0.61699999999999999</c:v>
                </c:pt>
                <c:pt idx="24">
                  <c:v>0.63600000000000101</c:v>
                </c:pt>
                <c:pt idx="25">
                  <c:v>0.42399999999999949</c:v>
                </c:pt>
                <c:pt idx="26">
                  <c:v>0.77899999999999991</c:v>
                </c:pt>
                <c:pt idx="27">
                  <c:v>0.75699999999999967</c:v>
                </c:pt>
                <c:pt idx="28">
                  <c:v>0.34700000000000131</c:v>
                </c:pt>
                <c:pt idx="29">
                  <c:v>0.55700000000000038</c:v>
                </c:pt>
                <c:pt idx="30">
                  <c:v>0.84100000000000108</c:v>
                </c:pt>
                <c:pt idx="31">
                  <c:v>0.60700000000000109</c:v>
                </c:pt>
                <c:pt idx="32">
                  <c:v>2.0000000000006679E-3</c:v>
                </c:pt>
                <c:pt idx="33">
                  <c:v>-0.11300000000000043</c:v>
                </c:pt>
                <c:pt idx="34">
                  <c:v>0.85000000000000053</c:v>
                </c:pt>
                <c:pt idx="35">
                  <c:v>1.5280000000000005</c:v>
                </c:pt>
                <c:pt idx="36">
                  <c:v>0.96300000000000008</c:v>
                </c:pt>
                <c:pt idx="37">
                  <c:v>0.66199999999999992</c:v>
                </c:pt>
                <c:pt idx="38">
                  <c:v>0.36399999999999988</c:v>
                </c:pt>
                <c:pt idx="39">
                  <c:v>0.1769999999999996</c:v>
                </c:pt>
                <c:pt idx="40">
                  <c:v>0.35500000000000043</c:v>
                </c:pt>
                <c:pt idx="41">
                  <c:v>9.5000000000000195E-2</c:v>
                </c:pt>
                <c:pt idx="42">
                  <c:v>-9.2999999999999972E-2</c:v>
                </c:pt>
                <c:pt idx="43">
                  <c:v>-0.3969999999999998</c:v>
                </c:pt>
                <c:pt idx="44">
                  <c:v>-1.3810000000000002</c:v>
                </c:pt>
                <c:pt idx="45">
                  <c:v>-0.48500000000000032</c:v>
                </c:pt>
                <c:pt idx="46">
                  <c:v>3.2000000000000028E-2</c:v>
                </c:pt>
                <c:pt idx="47">
                  <c:v>1.1580000000000004</c:v>
                </c:pt>
                <c:pt idx="48">
                  <c:v>1.2189999999999994</c:v>
                </c:pt>
                <c:pt idx="49">
                  <c:v>0.37700000000000067</c:v>
                </c:pt>
                <c:pt idx="50">
                  <c:v>0.28100000000000014</c:v>
                </c:pt>
                <c:pt idx="51">
                  <c:v>0.27000000000000046</c:v>
                </c:pt>
                <c:pt idx="52">
                  <c:v>0.18900000000000006</c:v>
                </c:pt>
                <c:pt idx="53">
                  <c:v>0.11400000000000077</c:v>
                </c:pt>
                <c:pt idx="54">
                  <c:v>8.6999999999999744E-2</c:v>
                </c:pt>
                <c:pt idx="55">
                  <c:v>0.36399999999999988</c:v>
                </c:pt>
                <c:pt idx="56">
                  <c:v>0.12800000000000011</c:v>
                </c:pt>
                <c:pt idx="57">
                  <c:v>-0.13800000000000034</c:v>
                </c:pt>
                <c:pt idx="58">
                  <c:v>0.28000000000000025</c:v>
                </c:pt>
                <c:pt idx="59">
                  <c:v>0.25499999999999989</c:v>
                </c:pt>
                <c:pt idx="60">
                  <c:v>1.04</c:v>
                </c:pt>
                <c:pt idx="61">
                  <c:v>0.1930000000000005</c:v>
                </c:pt>
                <c:pt idx="62">
                  <c:v>0.30100000000000016</c:v>
                </c:pt>
                <c:pt idx="63">
                  <c:v>2.1999999999999353E-2</c:v>
                </c:pt>
                <c:pt idx="64">
                  <c:v>0.23399999999999999</c:v>
                </c:pt>
                <c:pt idx="65">
                  <c:v>0.12600000000000033</c:v>
                </c:pt>
                <c:pt idx="66">
                  <c:v>0.36500000000000021</c:v>
                </c:pt>
                <c:pt idx="67">
                  <c:v>0.11599999999999966</c:v>
                </c:pt>
                <c:pt idx="68">
                  <c:v>0.10400000000000009</c:v>
                </c:pt>
                <c:pt idx="69">
                  <c:v>-0.12400000000000011</c:v>
                </c:pt>
                <c:pt idx="70">
                  <c:v>0.19000000000000039</c:v>
                </c:pt>
                <c:pt idx="71">
                  <c:v>1.0309999999999997</c:v>
                </c:pt>
                <c:pt idx="72">
                  <c:v>0.15700000000000003</c:v>
                </c:pt>
                <c:pt idx="73">
                  <c:v>-5.600000000000005E-2</c:v>
                </c:pt>
                <c:pt idx="74">
                  <c:v>-5.9999999999997833E-3</c:v>
                </c:pt>
                <c:pt idx="75">
                  <c:v>-7.5000000000000178E-2</c:v>
                </c:pt>
                <c:pt idx="76">
                  <c:v>-1.2000000000000011E-2</c:v>
                </c:pt>
                <c:pt idx="77">
                  <c:v>4.6000000000000263E-2</c:v>
                </c:pt>
                <c:pt idx="78">
                  <c:v>0.14100000000000001</c:v>
                </c:pt>
                <c:pt idx="79">
                  <c:v>4.0999999999999925E-2</c:v>
                </c:pt>
                <c:pt idx="80">
                  <c:v>-0.17999999999999972</c:v>
                </c:pt>
                <c:pt idx="81">
                  <c:v>-7.2000000000000064E-2</c:v>
                </c:pt>
                <c:pt idx="82">
                  <c:v>3.9000000000000146E-2</c:v>
                </c:pt>
                <c:pt idx="83">
                  <c:v>0.31899999999999995</c:v>
                </c:pt>
                <c:pt idx="84">
                  <c:v>0.58099999999999996</c:v>
                </c:pt>
                <c:pt idx="85">
                  <c:v>0.17399999999999993</c:v>
                </c:pt>
                <c:pt idx="86">
                  <c:v>0.20600000000000041</c:v>
                </c:pt>
                <c:pt idx="87">
                  <c:v>9.7000000000000419E-2</c:v>
                </c:pt>
                <c:pt idx="88">
                  <c:v>6.5999999999999837E-2</c:v>
                </c:pt>
                <c:pt idx="89">
                  <c:v>-0.14500000000000002</c:v>
                </c:pt>
                <c:pt idx="90">
                  <c:v>-0.10600000000000032</c:v>
                </c:pt>
                <c:pt idx="91">
                  <c:v>-4.0999999999999925E-2</c:v>
                </c:pt>
                <c:pt idx="92">
                  <c:v>-8.9999999999999858E-2</c:v>
                </c:pt>
                <c:pt idx="93">
                  <c:v>-0.21099999999999985</c:v>
                </c:pt>
                <c:pt idx="94">
                  <c:v>-0.32400000000000029</c:v>
                </c:pt>
                <c:pt idx="95">
                  <c:v>0.46999999999999975</c:v>
                </c:pt>
                <c:pt idx="96">
                  <c:v>0.19700000000000006</c:v>
                </c:pt>
                <c:pt idx="97">
                  <c:v>1.1310000000000002</c:v>
                </c:pt>
                <c:pt idx="98">
                  <c:v>-0.10100000000000087</c:v>
                </c:pt>
                <c:pt idx="99">
                  <c:v>-0.375</c:v>
                </c:pt>
                <c:pt idx="100">
                  <c:v>-0.84199999999999964</c:v>
                </c:pt>
                <c:pt idx="101">
                  <c:v>-0.53100000000000014</c:v>
                </c:pt>
                <c:pt idx="102">
                  <c:v>-1.121</c:v>
                </c:pt>
                <c:pt idx="103">
                  <c:v>-1.1250000000000004</c:v>
                </c:pt>
                <c:pt idx="104">
                  <c:v>-1.3810000000000002</c:v>
                </c:pt>
                <c:pt idx="105">
                  <c:v>-0.87300000000000022</c:v>
                </c:pt>
                <c:pt idx="106">
                  <c:v>-0.45800000000000018</c:v>
                </c:pt>
                <c:pt idx="107">
                  <c:v>-0.72899999999999965</c:v>
                </c:pt>
                <c:pt idx="108">
                  <c:v>1.6189999999999998</c:v>
                </c:pt>
                <c:pt idx="109">
                  <c:v>-0.21399999999999997</c:v>
                </c:pt>
                <c:pt idx="110">
                  <c:v>-0.22999999999999998</c:v>
                </c:pt>
                <c:pt idx="111">
                  <c:v>-0.84099999999999997</c:v>
                </c:pt>
                <c:pt idx="112">
                  <c:v>-0.74199999999999999</c:v>
                </c:pt>
                <c:pt idx="113">
                  <c:v>-1.1619999999999999</c:v>
                </c:pt>
                <c:pt idx="114">
                  <c:v>-0.8360000000000003</c:v>
                </c:pt>
                <c:pt idx="115">
                  <c:v>-1.0090000000000001</c:v>
                </c:pt>
                <c:pt idx="116">
                  <c:v>-0.84400000000000008</c:v>
                </c:pt>
                <c:pt idx="117">
                  <c:v>-0.88100000000000023</c:v>
                </c:pt>
                <c:pt idx="118">
                  <c:v>-0.79499999999999993</c:v>
                </c:pt>
                <c:pt idx="119">
                  <c:v>-0.79700000000000015</c:v>
                </c:pt>
                <c:pt idx="120">
                  <c:v>-0.54800000000000004</c:v>
                </c:pt>
                <c:pt idx="121">
                  <c:v>-0.53100000000000014</c:v>
                </c:pt>
                <c:pt idx="122">
                  <c:v>-0.49900000000000011</c:v>
                </c:pt>
                <c:pt idx="123">
                  <c:v>-0.54800000000000004</c:v>
                </c:pt>
                <c:pt idx="124">
                  <c:v>-0.56799999999999984</c:v>
                </c:pt>
              </c:numCache>
            </c:numRef>
          </c:val>
        </c:ser>
        <c:dLbls>
          <c:showLegendKey val="0"/>
          <c:showVal val="0"/>
          <c:showCatName val="0"/>
          <c:showSerName val="0"/>
          <c:showPercent val="0"/>
          <c:showBubbleSize val="0"/>
        </c:dLbls>
        <c:gapWidth val="150"/>
        <c:axId val="234493056"/>
        <c:axId val="234494592"/>
      </c:barChart>
      <c:lineChart>
        <c:grouping val="standard"/>
        <c:varyColors val="0"/>
        <c:ser>
          <c:idx val="0"/>
          <c:order val="1"/>
          <c:tx>
            <c:strRef>
              <c:f>Sheet4!$B$1</c:f>
              <c:strCache>
                <c:ptCount val="1"/>
                <c:pt idx="0">
                  <c:v>Appalacian Index</c:v>
                </c:pt>
              </c:strCache>
            </c:strRef>
          </c:tx>
          <c:marker>
            <c:symbol val="none"/>
          </c:marker>
          <c:cat>
            <c:numRef>
              <c:f>Sheet4!$A$2:$A$126</c:f>
              <c:numCache>
                <c:formatCode>m/d/yyyy</c:formatCode>
                <c:ptCount val="125"/>
                <c:pt idx="0">
                  <c:v>38748</c:v>
                </c:pt>
                <c:pt idx="1">
                  <c:v>38776</c:v>
                </c:pt>
                <c:pt idx="2">
                  <c:v>38807</c:v>
                </c:pt>
                <c:pt idx="3">
                  <c:v>38835</c:v>
                </c:pt>
                <c:pt idx="4">
                  <c:v>38868</c:v>
                </c:pt>
                <c:pt idx="5">
                  <c:v>38898</c:v>
                </c:pt>
                <c:pt idx="6">
                  <c:v>38929</c:v>
                </c:pt>
                <c:pt idx="7">
                  <c:v>38960</c:v>
                </c:pt>
                <c:pt idx="8">
                  <c:v>38989</c:v>
                </c:pt>
                <c:pt idx="9">
                  <c:v>39021</c:v>
                </c:pt>
                <c:pt idx="10">
                  <c:v>39051</c:v>
                </c:pt>
                <c:pt idx="11">
                  <c:v>39080</c:v>
                </c:pt>
                <c:pt idx="12">
                  <c:v>39113</c:v>
                </c:pt>
                <c:pt idx="13">
                  <c:v>39141</c:v>
                </c:pt>
                <c:pt idx="14">
                  <c:v>39171</c:v>
                </c:pt>
                <c:pt idx="15">
                  <c:v>39202</c:v>
                </c:pt>
                <c:pt idx="16">
                  <c:v>39233</c:v>
                </c:pt>
                <c:pt idx="17">
                  <c:v>39262</c:v>
                </c:pt>
                <c:pt idx="18">
                  <c:v>39294</c:v>
                </c:pt>
                <c:pt idx="19">
                  <c:v>39325</c:v>
                </c:pt>
                <c:pt idx="20">
                  <c:v>39353</c:v>
                </c:pt>
                <c:pt idx="21">
                  <c:v>39386</c:v>
                </c:pt>
                <c:pt idx="22">
                  <c:v>39416</c:v>
                </c:pt>
                <c:pt idx="23">
                  <c:v>39447</c:v>
                </c:pt>
                <c:pt idx="24">
                  <c:v>39478</c:v>
                </c:pt>
                <c:pt idx="25">
                  <c:v>39507</c:v>
                </c:pt>
                <c:pt idx="26">
                  <c:v>39538</c:v>
                </c:pt>
                <c:pt idx="27">
                  <c:v>39568</c:v>
                </c:pt>
                <c:pt idx="28">
                  <c:v>39598</c:v>
                </c:pt>
                <c:pt idx="29">
                  <c:v>39629</c:v>
                </c:pt>
                <c:pt idx="30">
                  <c:v>39660</c:v>
                </c:pt>
                <c:pt idx="31">
                  <c:v>39689</c:v>
                </c:pt>
                <c:pt idx="32">
                  <c:v>39721</c:v>
                </c:pt>
                <c:pt idx="33">
                  <c:v>39752</c:v>
                </c:pt>
                <c:pt idx="34">
                  <c:v>39780</c:v>
                </c:pt>
                <c:pt idx="35">
                  <c:v>39813</c:v>
                </c:pt>
                <c:pt idx="36">
                  <c:v>39843</c:v>
                </c:pt>
                <c:pt idx="37">
                  <c:v>39871</c:v>
                </c:pt>
                <c:pt idx="38">
                  <c:v>39903</c:v>
                </c:pt>
                <c:pt idx="39">
                  <c:v>39933</c:v>
                </c:pt>
                <c:pt idx="40">
                  <c:v>39962</c:v>
                </c:pt>
                <c:pt idx="41">
                  <c:v>39994</c:v>
                </c:pt>
                <c:pt idx="42">
                  <c:v>40025</c:v>
                </c:pt>
                <c:pt idx="43">
                  <c:v>40056</c:v>
                </c:pt>
                <c:pt idx="44">
                  <c:v>40086</c:v>
                </c:pt>
                <c:pt idx="45">
                  <c:v>40116</c:v>
                </c:pt>
                <c:pt idx="46">
                  <c:v>40147</c:v>
                </c:pt>
                <c:pt idx="47">
                  <c:v>40178</c:v>
                </c:pt>
                <c:pt idx="48">
                  <c:v>40207</c:v>
                </c:pt>
                <c:pt idx="49">
                  <c:v>40235</c:v>
                </c:pt>
                <c:pt idx="50">
                  <c:v>40268</c:v>
                </c:pt>
                <c:pt idx="51">
                  <c:v>40298</c:v>
                </c:pt>
                <c:pt idx="52">
                  <c:v>40329</c:v>
                </c:pt>
                <c:pt idx="53">
                  <c:v>40359</c:v>
                </c:pt>
                <c:pt idx="54">
                  <c:v>40389</c:v>
                </c:pt>
                <c:pt idx="55">
                  <c:v>40421</c:v>
                </c:pt>
                <c:pt idx="56">
                  <c:v>40451</c:v>
                </c:pt>
                <c:pt idx="57">
                  <c:v>40480</c:v>
                </c:pt>
                <c:pt idx="58">
                  <c:v>40512</c:v>
                </c:pt>
                <c:pt idx="59">
                  <c:v>40543</c:v>
                </c:pt>
                <c:pt idx="60">
                  <c:v>40574</c:v>
                </c:pt>
                <c:pt idx="61">
                  <c:v>40602</c:v>
                </c:pt>
                <c:pt idx="62">
                  <c:v>40633</c:v>
                </c:pt>
                <c:pt idx="63">
                  <c:v>40662</c:v>
                </c:pt>
                <c:pt idx="64">
                  <c:v>40694</c:v>
                </c:pt>
                <c:pt idx="65">
                  <c:v>40724</c:v>
                </c:pt>
                <c:pt idx="66">
                  <c:v>40753</c:v>
                </c:pt>
                <c:pt idx="67">
                  <c:v>40786</c:v>
                </c:pt>
                <c:pt idx="68">
                  <c:v>40816</c:v>
                </c:pt>
                <c:pt idx="69">
                  <c:v>40847</c:v>
                </c:pt>
                <c:pt idx="70">
                  <c:v>40877</c:v>
                </c:pt>
                <c:pt idx="71">
                  <c:v>40907</c:v>
                </c:pt>
                <c:pt idx="72">
                  <c:v>40939</c:v>
                </c:pt>
                <c:pt idx="73">
                  <c:v>40968</c:v>
                </c:pt>
                <c:pt idx="74">
                  <c:v>40998</c:v>
                </c:pt>
                <c:pt idx="75">
                  <c:v>41029</c:v>
                </c:pt>
                <c:pt idx="76">
                  <c:v>41060</c:v>
                </c:pt>
                <c:pt idx="77">
                  <c:v>41089</c:v>
                </c:pt>
                <c:pt idx="78">
                  <c:v>41121</c:v>
                </c:pt>
                <c:pt idx="79">
                  <c:v>41152</c:v>
                </c:pt>
                <c:pt idx="80">
                  <c:v>41180</c:v>
                </c:pt>
                <c:pt idx="81">
                  <c:v>41213</c:v>
                </c:pt>
                <c:pt idx="82">
                  <c:v>41243</c:v>
                </c:pt>
                <c:pt idx="83">
                  <c:v>41274</c:v>
                </c:pt>
                <c:pt idx="84">
                  <c:v>41305</c:v>
                </c:pt>
                <c:pt idx="85">
                  <c:v>41333</c:v>
                </c:pt>
                <c:pt idx="86">
                  <c:v>41362</c:v>
                </c:pt>
                <c:pt idx="87">
                  <c:v>41394</c:v>
                </c:pt>
                <c:pt idx="88">
                  <c:v>41425</c:v>
                </c:pt>
                <c:pt idx="89">
                  <c:v>41453</c:v>
                </c:pt>
                <c:pt idx="90">
                  <c:v>41486</c:v>
                </c:pt>
                <c:pt idx="91">
                  <c:v>41516</c:v>
                </c:pt>
                <c:pt idx="92">
                  <c:v>41547</c:v>
                </c:pt>
                <c:pt idx="93">
                  <c:v>41578</c:v>
                </c:pt>
                <c:pt idx="94">
                  <c:v>41607</c:v>
                </c:pt>
                <c:pt idx="95">
                  <c:v>41639</c:v>
                </c:pt>
                <c:pt idx="96">
                  <c:v>41670</c:v>
                </c:pt>
                <c:pt idx="97">
                  <c:v>41698</c:v>
                </c:pt>
                <c:pt idx="98">
                  <c:v>41729</c:v>
                </c:pt>
                <c:pt idx="99">
                  <c:v>41759</c:v>
                </c:pt>
                <c:pt idx="100">
                  <c:v>41789</c:v>
                </c:pt>
                <c:pt idx="101">
                  <c:v>41820</c:v>
                </c:pt>
                <c:pt idx="102">
                  <c:v>41851</c:v>
                </c:pt>
                <c:pt idx="103">
                  <c:v>41880</c:v>
                </c:pt>
                <c:pt idx="104">
                  <c:v>41912</c:v>
                </c:pt>
                <c:pt idx="105">
                  <c:v>41943</c:v>
                </c:pt>
                <c:pt idx="106">
                  <c:v>41971</c:v>
                </c:pt>
                <c:pt idx="107">
                  <c:v>42004</c:v>
                </c:pt>
                <c:pt idx="108">
                  <c:v>42034</c:v>
                </c:pt>
                <c:pt idx="109">
                  <c:v>42062</c:v>
                </c:pt>
                <c:pt idx="110">
                  <c:v>42094</c:v>
                </c:pt>
                <c:pt idx="111">
                  <c:v>42124</c:v>
                </c:pt>
                <c:pt idx="112">
                  <c:v>42153</c:v>
                </c:pt>
                <c:pt idx="113">
                  <c:v>42185</c:v>
                </c:pt>
                <c:pt idx="114">
                  <c:v>42216</c:v>
                </c:pt>
                <c:pt idx="115">
                  <c:v>42247</c:v>
                </c:pt>
                <c:pt idx="116">
                  <c:v>42277</c:v>
                </c:pt>
                <c:pt idx="117">
                  <c:v>42307</c:v>
                </c:pt>
                <c:pt idx="118">
                  <c:v>42338</c:v>
                </c:pt>
                <c:pt idx="119">
                  <c:v>42369</c:v>
                </c:pt>
                <c:pt idx="120">
                  <c:v>42398</c:v>
                </c:pt>
                <c:pt idx="121">
                  <c:v>42429</c:v>
                </c:pt>
                <c:pt idx="122">
                  <c:v>42460</c:v>
                </c:pt>
                <c:pt idx="123">
                  <c:v>42489</c:v>
                </c:pt>
                <c:pt idx="124">
                  <c:v>42521</c:v>
                </c:pt>
              </c:numCache>
            </c:numRef>
          </c:cat>
          <c:val>
            <c:numRef>
              <c:f>Sheet4!$B$2:$B$126</c:f>
              <c:numCache>
                <c:formatCode>_("$"* #,##0.00_);_("$"* \(#,##0.00\);_("$"* "-"??_);_(@_)</c:formatCode>
                <c:ptCount val="125"/>
                <c:pt idx="0">
                  <c:v>9.27</c:v>
                </c:pt>
                <c:pt idx="1">
                  <c:v>7.14</c:v>
                </c:pt>
                <c:pt idx="2">
                  <c:v>7.39</c:v>
                </c:pt>
                <c:pt idx="3">
                  <c:v>6.94</c:v>
                </c:pt>
                <c:pt idx="4">
                  <c:v>6.37</c:v>
                </c:pt>
                <c:pt idx="5">
                  <c:v>6.08</c:v>
                </c:pt>
                <c:pt idx="6">
                  <c:v>8.75</c:v>
                </c:pt>
                <c:pt idx="7">
                  <c:v>6.14</c:v>
                </c:pt>
                <c:pt idx="8">
                  <c:v>3.7</c:v>
                </c:pt>
                <c:pt idx="9">
                  <c:v>7.06</c:v>
                </c:pt>
                <c:pt idx="10">
                  <c:v>8.61</c:v>
                </c:pt>
                <c:pt idx="11">
                  <c:v>5.71</c:v>
                </c:pt>
                <c:pt idx="12">
                  <c:v>8.2100000000000009</c:v>
                </c:pt>
                <c:pt idx="13">
                  <c:v>7.59</c:v>
                </c:pt>
                <c:pt idx="14">
                  <c:v>7.99</c:v>
                </c:pt>
                <c:pt idx="15">
                  <c:v>8.17</c:v>
                </c:pt>
                <c:pt idx="16">
                  <c:v>8.4</c:v>
                </c:pt>
                <c:pt idx="17">
                  <c:v>6.78</c:v>
                </c:pt>
                <c:pt idx="18">
                  <c:v>6.98</c:v>
                </c:pt>
                <c:pt idx="19">
                  <c:v>5.68</c:v>
                </c:pt>
                <c:pt idx="20">
                  <c:v>6.29</c:v>
                </c:pt>
                <c:pt idx="21">
                  <c:v>7.54</c:v>
                </c:pt>
                <c:pt idx="22">
                  <c:v>7.81</c:v>
                </c:pt>
                <c:pt idx="23">
                  <c:v>8.1</c:v>
                </c:pt>
                <c:pt idx="24">
                  <c:v>8.7100000000000009</c:v>
                </c:pt>
                <c:pt idx="25">
                  <c:v>9.7899999999999991</c:v>
                </c:pt>
                <c:pt idx="26">
                  <c:v>10.88</c:v>
                </c:pt>
                <c:pt idx="27">
                  <c:v>11.6</c:v>
                </c:pt>
                <c:pt idx="28">
                  <c:v>12.05</c:v>
                </c:pt>
                <c:pt idx="29">
                  <c:v>13.91</c:v>
                </c:pt>
                <c:pt idx="30">
                  <c:v>9.9600000000000009</c:v>
                </c:pt>
                <c:pt idx="31">
                  <c:v>8.5500000000000007</c:v>
                </c:pt>
                <c:pt idx="32">
                  <c:v>7.44</c:v>
                </c:pt>
                <c:pt idx="33">
                  <c:v>6.67</c:v>
                </c:pt>
                <c:pt idx="34">
                  <c:v>7.36</c:v>
                </c:pt>
                <c:pt idx="35">
                  <c:v>7.15</c:v>
                </c:pt>
                <c:pt idx="36">
                  <c:v>5.38</c:v>
                </c:pt>
                <c:pt idx="37">
                  <c:v>4.8600000000000003</c:v>
                </c:pt>
                <c:pt idx="38">
                  <c:v>4.1399999999999997</c:v>
                </c:pt>
                <c:pt idx="39">
                  <c:v>3.55</c:v>
                </c:pt>
                <c:pt idx="40">
                  <c:v>4.1900000000000004</c:v>
                </c:pt>
                <c:pt idx="41">
                  <c:v>3.93</c:v>
                </c:pt>
                <c:pt idx="42">
                  <c:v>3.56</c:v>
                </c:pt>
                <c:pt idx="43">
                  <c:v>2.58</c:v>
                </c:pt>
                <c:pt idx="44">
                  <c:v>3.46</c:v>
                </c:pt>
                <c:pt idx="45">
                  <c:v>4.5599999999999996</c:v>
                </c:pt>
                <c:pt idx="46">
                  <c:v>4.88</c:v>
                </c:pt>
                <c:pt idx="47">
                  <c:v>6.73</c:v>
                </c:pt>
                <c:pt idx="48">
                  <c:v>6.35</c:v>
                </c:pt>
                <c:pt idx="49">
                  <c:v>5.19</c:v>
                </c:pt>
                <c:pt idx="50">
                  <c:v>4.1500000000000004</c:v>
                </c:pt>
                <c:pt idx="51">
                  <c:v>4.1900000000000004</c:v>
                </c:pt>
                <c:pt idx="52">
                  <c:v>4.53</c:v>
                </c:pt>
                <c:pt idx="53">
                  <c:v>4.7300000000000004</c:v>
                </c:pt>
                <c:pt idx="54">
                  <c:v>5.01</c:v>
                </c:pt>
                <c:pt idx="55">
                  <c:v>4.18</c:v>
                </c:pt>
                <c:pt idx="56">
                  <c:v>4</c:v>
                </c:pt>
                <c:pt idx="57">
                  <c:v>3.9</c:v>
                </c:pt>
                <c:pt idx="58">
                  <c:v>4.46</c:v>
                </c:pt>
                <c:pt idx="59">
                  <c:v>4.66</c:v>
                </c:pt>
                <c:pt idx="60">
                  <c:v>5.46</c:v>
                </c:pt>
                <c:pt idx="61">
                  <c:v>4.2300000000000004</c:v>
                </c:pt>
                <c:pt idx="62">
                  <c:v>4.6900000000000004</c:v>
                </c:pt>
                <c:pt idx="63">
                  <c:v>4.72</c:v>
                </c:pt>
                <c:pt idx="64">
                  <c:v>4.9000000000000004</c:v>
                </c:pt>
                <c:pt idx="65">
                  <c:v>4.5</c:v>
                </c:pt>
                <c:pt idx="66">
                  <c:v>4.51</c:v>
                </c:pt>
                <c:pt idx="67">
                  <c:v>4.17</c:v>
                </c:pt>
                <c:pt idx="68">
                  <c:v>3.77</c:v>
                </c:pt>
                <c:pt idx="69">
                  <c:v>3.81</c:v>
                </c:pt>
                <c:pt idx="70">
                  <c:v>3.74</c:v>
                </c:pt>
                <c:pt idx="71">
                  <c:v>4.0199999999999996</c:v>
                </c:pt>
                <c:pt idx="72">
                  <c:v>2.66</c:v>
                </c:pt>
                <c:pt idx="73">
                  <c:v>2.56</c:v>
                </c:pt>
                <c:pt idx="74">
                  <c:v>2.12</c:v>
                </c:pt>
                <c:pt idx="75">
                  <c:v>2.21</c:v>
                </c:pt>
                <c:pt idx="76">
                  <c:v>2.41</c:v>
                </c:pt>
                <c:pt idx="77">
                  <c:v>2.87</c:v>
                </c:pt>
                <c:pt idx="78">
                  <c:v>3.35</c:v>
                </c:pt>
                <c:pt idx="79">
                  <c:v>2.84</c:v>
                </c:pt>
                <c:pt idx="80">
                  <c:v>3.14</c:v>
                </c:pt>
                <c:pt idx="81">
                  <c:v>3.62</c:v>
                </c:pt>
                <c:pt idx="82">
                  <c:v>3.6</c:v>
                </c:pt>
                <c:pt idx="83">
                  <c:v>3.67</c:v>
                </c:pt>
                <c:pt idx="84">
                  <c:v>3.92</c:v>
                </c:pt>
                <c:pt idx="85">
                  <c:v>3.66</c:v>
                </c:pt>
                <c:pt idx="86">
                  <c:v>4.2300000000000004</c:v>
                </c:pt>
                <c:pt idx="87">
                  <c:v>4.4400000000000004</c:v>
                </c:pt>
                <c:pt idx="88">
                  <c:v>4.05</c:v>
                </c:pt>
                <c:pt idx="89">
                  <c:v>3.42</c:v>
                </c:pt>
                <c:pt idx="90">
                  <c:v>3.34</c:v>
                </c:pt>
                <c:pt idx="91">
                  <c:v>3.54</c:v>
                </c:pt>
                <c:pt idx="92">
                  <c:v>3.47</c:v>
                </c:pt>
                <c:pt idx="93">
                  <c:v>3.37</c:v>
                </c:pt>
                <c:pt idx="94">
                  <c:v>3.63</c:v>
                </c:pt>
                <c:pt idx="95">
                  <c:v>4.7</c:v>
                </c:pt>
                <c:pt idx="96">
                  <c:v>5.14</c:v>
                </c:pt>
                <c:pt idx="97">
                  <c:v>5.74</c:v>
                </c:pt>
                <c:pt idx="98">
                  <c:v>4.2699999999999996</c:v>
                </c:pt>
                <c:pt idx="99">
                  <c:v>4.4400000000000004</c:v>
                </c:pt>
                <c:pt idx="100">
                  <c:v>3.7</c:v>
                </c:pt>
                <c:pt idx="101">
                  <c:v>3.93</c:v>
                </c:pt>
                <c:pt idx="102">
                  <c:v>2.72</c:v>
                </c:pt>
                <c:pt idx="103">
                  <c:v>2.94</c:v>
                </c:pt>
                <c:pt idx="104">
                  <c:v>2.74</c:v>
                </c:pt>
                <c:pt idx="105">
                  <c:v>3</c:v>
                </c:pt>
                <c:pt idx="106">
                  <c:v>3.63</c:v>
                </c:pt>
                <c:pt idx="107">
                  <c:v>2.16</c:v>
                </c:pt>
                <c:pt idx="108">
                  <c:v>4.3099999999999996</c:v>
                </c:pt>
                <c:pt idx="109">
                  <c:v>2.52</c:v>
                </c:pt>
                <c:pt idx="110">
                  <c:v>2.41</c:v>
                </c:pt>
                <c:pt idx="111">
                  <c:v>1.91</c:v>
                </c:pt>
                <c:pt idx="112">
                  <c:v>1.9</c:v>
                </c:pt>
                <c:pt idx="113">
                  <c:v>1.67</c:v>
                </c:pt>
                <c:pt idx="114">
                  <c:v>1.88</c:v>
                </c:pt>
                <c:pt idx="115">
                  <c:v>1.68</c:v>
                </c:pt>
                <c:pt idx="116">
                  <c:v>1.68</c:v>
                </c:pt>
                <c:pt idx="117">
                  <c:v>1.44</c:v>
                </c:pt>
                <c:pt idx="118">
                  <c:v>1.44</c:v>
                </c:pt>
                <c:pt idx="119">
                  <c:v>1.54</c:v>
                </c:pt>
                <c:pt idx="120">
                  <c:v>1.75</c:v>
                </c:pt>
                <c:pt idx="121">
                  <c:v>1.18</c:v>
                </c:pt>
                <c:pt idx="122">
                  <c:v>1.46</c:v>
                </c:pt>
                <c:pt idx="123">
                  <c:v>1.63</c:v>
                </c:pt>
                <c:pt idx="124">
                  <c:v>1.72</c:v>
                </c:pt>
              </c:numCache>
            </c:numRef>
          </c:val>
          <c:smooth val="0"/>
        </c:ser>
        <c:ser>
          <c:idx val="1"/>
          <c:order val="2"/>
          <c:tx>
            <c:strRef>
              <c:f>Sheet4!$C$1</c:f>
              <c:strCache>
                <c:ptCount val="1"/>
                <c:pt idx="0">
                  <c:v>Henry Hub</c:v>
                </c:pt>
              </c:strCache>
            </c:strRef>
          </c:tx>
          <c:marker>
            <c:symbol val="none"/>
          </c:marker>
          <c:cat>
            <c:numRef>
              <c:f>Sheet4!$A$2:$A$126</c:f>
              <c:numCache>
                <c:formatCode>m/d/yyyy</c:formatCode>
                <c:ptCount val="125"/>
                <c:pt idx="0">
                  <c:v>38748</c:v>
                </c:pt>
                <c:pt idx="1">
                  <c:v>38776</c:v>
                </c:pt>
                <c:pt idx="2">
                  <c:v>38807</c:v>
                </c:pt>
                <c:pt idx="3">
                  <c:v>38835</c:v>
                </c:pt>
                <c:pt idx="4">
                  <c:v>38868</c:v>
                </c:pt>
                <c:pt idx="5">
                  <c:v>38898</c:v>
                </c:pt>
                <c:pt idx="6">
                  <c:v>38929</c:v>
                </c:pt>
                <c:pt idx="7">
                  <c:v>38960</c:v>
                </c:pt>
                <c:pt idx="8">
                  <c:v>38989</c:v>
                </c:pt>
                <c:pt idx="9">
                  <c:v>39021</c:v>
                </c:pt>
                <c:pt idx="10">
                  <c:v>39051</c:v>
                </c:pt>
                <c:pt idx="11">
                  <c:v>39080</c:v>
                </c:pt>
                <c:pt idx="12">
                  <c:v>39113</c:v>
                </c:pt>
                <c:pt idx="13">
                  <c:v>39141</c:v>
                </c:pt>
                <c:pt idx="14">
                  <c:v>39171</c:v>
                </c:pt>
                <c:pt idx="15">
                  <c:v>39202</c:v>
                </c:pt>
                <c:pt idx="16">
                  <c:v>39233</c:v>
                </c:pt>
                <c:pt idx="17">
                  <c:v>39262</c:v>
                </c:pt>
                <c:pt idx="18">
                  <c:v>39294</c:v>
                </c:pt>
                <c:pt idx="19">
                  <c:v>39325</c:v>
                </c:pt>
                <c:pt idx="20">
                  <c:v>39353</c:v>
                </c:pt>
                <c:pt idx="21">
                  <c:v>39386</c:v>
                </c:pt>
                <c:pt idx="22">
                  <c:v>39416</c:v>
                </c:pt>
                <c:pt idx="23">
                  <c:v>39447</c:v>
                </c:pt>
                <c:pt idx="24">
                  <c:v>39478</c:v>
                </c:pt>
                <c:pt idx="25">
                  <c:v>39507</c:v>
                </c:pt>
                <c:pt idx="26">
                  <c:v>39538</c:v>
                </c:pt>
                <c:pt idx="27">
                  <c:v>39568</c:v>
                </c:pt>
                <c:pt idx="28">
                  <c:v>39598</c:v>
                </c:pt>
                <c:pt idx="29">
                  <c:v>39629</c:v>
                </c:pt>
                <c:pt idx="30">
                  <c:v>39660</c:v>
                </c:pt>
                <c:pt idx="31">
                  <c:v>39689</c:v>
                </c:pt>
                <c:pt idx="32">
                  <c:v>39721</c:v>
                </c:pt>
                <c:pt idx="33">
                  <c:v>39752</c:v>
                </c:pt>
                <c:pt idx="34">
                  <c:v>39780</c:v>
                </c:pt>
                <c:pt idx="35">
                  <c:v>39813</c:v>
                </c:pt>
                <c:pt idx="36">
                  <c:v>39843</c:v>
                </c:pt>
                <c:pt idx="37">
                  <c:v>39871</c:v>
                </c:pt>
                <c:pt idx="38">
                  <c:v>39903</c:v>
                </c:pt>
                <c:pt idx="39">
                  <c:v>39933</c:v>
                </c:pt>
                <c:pt idx="40">
                  <c:v>39962</c:v>
                </c:pt>
                <c:pt idx="41">
                  <c:v>39994</c:v>
                </c:pt>
                <c:pt idx="42">
                  <c:v>40025</c:v>
                </c:pt>
                <c:pt idx="43">
                  <c:v>40056</c:v>
                </c:pt>
                <c:pt idx="44">
                  <c:v>40086</c:v>
                </c:pt>
                <c:pt idx="45">
                  <c:v>40116</c:v>
                </c:pt>
                <c:pt idx="46">
                  <c:v>40147</c:v>
                </c:pt>
                <c:pt idx="47">
                  <c:v>40178</c:v>
                </c:pt>
                <c:pt idx="48">
                  <c:v>40207</c:v>
                </c:pt>
                <c:pt idx="49">
                  <c:v>40235</c:v>
                </c:pt>
                <c:pt idx="50">
                  <c:v>40268</c:v>
                </c:pt>
                <c:pt idx="51">
                  <c:v>40298</c:v>
                </c:pt>
                <c:pt idx="52">
                  <c:v>40329</c:v>
                </c:pt>
                <c:pt idx="53">
                  <c:v>40359</c:v>
                </c:pt>
                <c:pt idx="54">
                  <c:v>40389</c:v>
                </c:pt>
                <c:pt idx="55">
                  <c:v>40421</c:v>
                </c:pt>
                <c:pt idx="56">
                  <c:v>40451</c:v>
                </c:pt>
                <c:pt idx="57">
                  <c:v>40480</c:v>
                </c:pt>
                <c:pt idx="58">
                  <c:v>40512</c:v>
                </c:pt>
                <c:pt idx="59">
                  <c:v>40543</c:v>
                </c:pt>
                <c:pt idx="60">
                  <c:v>40574</c:v>
                </c:pt>
                <c:pt idx="61">
                  <c:v>40602</c:v>
                </c:pt>
                <c:pt idx="62">
                  <c:v>40633</c:v>
                </c:pt>
                <c:pt idx="63">
                  <c:v>40662</c:v>
                </c:pt>
                <c:pt idx="64">
                  <c:v>40694</c:v>
                </c:pt>
                <c:pt idx="65">
                  <c:v>40724</c:v>
                </c:pt>
                <c:pt idx="66">
                  <c:v>40753</c:v>
                </c:pt>
                <c:pt idx="67">
                  <c:v>40786</c:v>
                </c:pt>
                <c:pt idx="68">
                  <c:v>40816</c:v>
                </c:pt>
                <c:pt idx="69">
                  <c:v>40847</c:v>
                </c:pt>
                <c:pt idx="70">
                  <c:v>40877</c:v>
                </c:pt>
                <c:pt idx="71">
                  <c:v>40907</c:v>
                </c:pt>
                <c:pt idx="72">
                  <c:v>40939</c:v>
                </c:pt>
                <c:pt idx="73">
                  <c:v>40968</c:v>
                </c:pt>
                <c:pt idx="74">
                  <c:v>40998</c:v>
                </c:pt>
                <c:pt idx="75">
                  <c:v>41029</c:v>
                </c:pt>
                <c:pt idx="76">
                  <c:v>41060</c:v>
                </c:pt>
                <c:pt idx="77">
                  <c:v>41089</c:v>
                </c:pt>
                <c:pt idx="78">
                  <c:v>41121</c:v>
                </c:pt>
                <c:pt idx="79">
                  <c:v>41152</c:v>
                </c:pt>
                <c:pt idx="80">
                  <c:v>41180</c:v>
                </c:pt>
                <c:pt idx="81">
                  <c:v>41213</c:v>
                </c:pt>
                <c:pt idx="82">
                  <c:v>41243</c:v>
                </c:pt>
                <c:pt idx="83">
                  <c:v>41274</c:v>
                </c:pt>
                <c:pt idx="84">
                  <c:v>41305</c:v>
                </c:pt>
                <c:pt idx="85">
                  <c:v>41333</c:v>
                </c:pt>
                <c:pt idx="86">
                  <c:v>41362</c:v>
                </c:pt>
                <c:pt idx="87">
                  <c:v>41394</c:v>
                </c:pt>
                <c:pt idx="88">
                  <c:v>41425</c:v>
                </c:pt>
                <c:pt idx="89">
                  <c:v>41453</c:v>
                </c:pt>
                <c:pt idx="90">
                  <c:v>41486</c:v>
                </c:pt>
                <c:pt idx="91">
                  <c:v>41516</c:v>
                </c:pt>
                <c:pt idx="92">
                  <c:v>41547</c:v>
                </c:pt>
                <c:pt idx="93">
                  <c:v>41578</c:v>
                </c:pt>
                <c:pt idx="94">
                  <c:v>41607</c:v>
                </c:pt>
                <c:pt idx="95">
                  <c:v>41639</c:v>
                </c:pt>
                <c:pt idx="96">
                  <c:v>41670</c:v>
                </c:pt>
                <c:pt idx="97">
                  <c:v>41698</c:v>
                </c:pt>
                <c:pt idx="98">
                  <c:v>41729</c:v>
                </c:pt>
                <c:pt idx="99">
                  <c:v>41759</c:v>
                </c:pt>
                <c:pt idx="100">
                  <c:v>41789</c:v>
                </c:pt>
                <c:pt idx="101">
                  <c:v>41820</c:v>
                </c:pt>
                <c:pt idx="102">
                  <c:v>41851</c:v>
                </c:pt>
                <c:pt idx="103">
                  <c:v>41880</c:v>
                </c:pt>
                <c:pt idx="104">
                  <c:v>41912</c:v>
                </c:pt>
                <c:pt idx="105">
                  <c:v>41943</c:v>
                </c:pt>
                <c:pt idx="106">
                  <c:v>41971</c:v>
                </c:pt>
                <c:pt idx="107">
                  <c:v>42004</c:v>
                </c:pt>
                <c:pt idx="108">
                  <c:v>42034</c:v>
                </c:pt>
                <c:pt idx="109">
                  <c:v>42062</c:v>
                </c:pt>
                <c:pt idx="110">
                  <c:v>42094</c:v>
                </c:pt>
                <c:pt idx="111">
                  <c:v>42124</c:v>
                </c:pt>
                <c:pt idx="112">
                  <c:v>42153</c:v>
                </c:pt>
                <c:pt idx="113">
                  <c:v>42185</c:v>
                </c:pt>
                <c:pt idx="114">
                  <c:v>42216</c:v>
                </c:pt>
                <c:pt idx="115">
                  <c:v>42247</c:v>
                </c:pt>
                <c:pt idx="116">
                  <c:v>42277</c:v>
                </c:pt>
                <c:pt idx="117">
                  <c:v>42307</c:v>
                </c:pt>
                <c:pt idx="118">
                  <c:v>42338</c:v>
                </c:pt>
                <c:pt idx="119">
                  <c:v>42369</c:v>
                </c:pt>
                <c:pt idx="120">
                  <c:v>42398</c:v>
                </c:pt>
                <c:pt idx="121">
                  <c:v>42429</c:v>
                </c:pt>
                <c:pt idx="122">
                  <c:v>42460</c:v>
                </c:pt>
                <c:pt idx="123">
                  <c:v>42489</c:v>
                </c:pt>
                <c:pt idx="124">
                  <c:v>42521</c:v>
                </c:pt>
              </c:numCache>
            </c:numRef>
          </c:cat>
          <c:val>
            <c:numRef>
              <c:f>Sheet4!$C$2:$C$126</c:f>
              <c:numCache>
                <c:formatCode>_("$"* #,##0.00_);_("$"* \(#,##0.00\);_("$"* "-"??_);_(@_)</c:formatCode>
                <c:ptCount val="125"/>
                <c:pt idx="0">
                  <c:v>9.3160000000000007</c:v>
                </c:pt>
                <c:pt idx="1">
                  <c:v>6.7140000000000004</c:v>
                </c:pt>
                <c:pt idx="2">
                  <c:v>7.21</c:v>
                </c:pt>
                <c:pt idx="3">
                  <c:v>6.5549999999999997</c:v>
                </c:pt>
                <c:pt idx="4">
                  <c:v>6.3840000000000003</c:v>
                </c:pt>
                <c:pt idx="5">
                  <c:v>6.1040000000000001</c:v>
                </c:pt>
                <c:pt idx="6">
                  <c:v>8.2110000000000003</c:v>
                </c:pt>
                <c:pt idx="7">
                  <c:v>6.048</c:v>
                </c:pt>
                <c:pt idx="8">
                  <c:v>5.62</c:v>
                </c:pt>
                <c:pt idx="9">
                  <c:v>7.5339999999999998</c:v>
                </c:pt>
                <c:pt idx="10">
                  <c:v>8.8439999999999994</c:v>
                </c:pt>
                <c:pt idx="11">
                  <c:v>6.2990000000000004</c:v>
                </c:pt>
                <c:pt idx="12">
                  <c:v>7.6669999999999998</c:v>
                </c:pt>
                <c:pt idx="13">
                  <c:v>7.3</c:v>
                </c:pt>
                <c:pt idx="14">
                  <c:v>7.73</c:v>
                </c:pt>
                <c:pt idx="15">
                  <c:v>7.8630000000000004</c:v>
                </c:pt>
                <c:pt idx="16">
                  <c:v>7.9349999999999996</c:v>
                </c:pt>
                <c:pt idx="17">
                  <c:v>6.7729999999999997</c:v>
                </c:pt>
                <c:pt idx="18">
                  <c:v>6.1909999999999998</c:v>
                </c:pt>
                <c:pt idx="19">
                  <c:v>5.468</c:v>
                </c:pt>
                <c:pt idx="20">
                  <c:v>6.87</c:v>
                </c:pt>
                <c:pt idx="21">
                  <c:v>8.33</c:v>
                </c:pt>
                <c:pt idx="22">
                  <c:v>7.3019999999999996</c:v>
                </c:pt>
                <c:pt idx="23">
                  <c:v>7.4829999999999997</c:v>
                </c:pt>
                <c:pt idx="24">
                  <c:v>8.0739999999999998</c:v>
                </c:pt>
                <c:pt idx="25">
                  <c:v>9.3659999999999997</c:v>
                </c:pt>
                <c:pt idx="26">
                  <c:v>10.101000000000001</c:v>
                </c:pt>
                <c:pt idx="27">
                  <c:v>10.843</c:v>
                </c:pt>
                <c:pt idx="28">
                  <c:v>11.702999999999999</c:v>
                </c:pt>
                <c:pt idx="29">
                  <c:v>13.353</c:v>
                </c:pt>
                <c:pt idx="30">
                  <c:v>9.1189999999999998</c:v>
                </c:pt>
                <c:pt idx="31">
                  <c:v>7.9429999999999996</c:v>
                </c:pt>
                <c:pt idx="32">
                  <c:v>7.4379999999999997</c:v>
                </c:pt>
                <c:pt idx="33">
                  <c:v>6.7830000000000004</c:v>
                </c:pt>
                <c:pt idx="34">
                  <c:v>6.51</c:v>
                </c:pt>
                <c:pt idx="35">
                  <c:v>5.6219999999999999</c:v>
                </c:pt>
                <c:pt idx="36">
                  <c:v>4.4169999999999998</c:v>
                </c:pt>
                <c:pt idx="37">
                  <c:v>4.1980000000000004</c:v>
                </c:pt>
                <c:pt idx="38">
                  <c:v>3.7759999999999998</c:v>
                </c:pt>
                <c:pt idx="39">
                  <c:v>3.3730000000000002</c:v>
                </c:pt>
                <c:pt idx="40">
                  <c:v>3.835</c:v>
                </c:pt>
                <c:pt idx="41">
                  <c:v>3.835</c:v>
                </c:pt>
                <c:pt idx="42">
                  <c:v>3.653</c:v>
                </c:pt>
                <c:pt idx="43">
                  <c:v>2.9769999999999999</c:v>
                </c:pt>
                <c:pt idx="44">
                  <c:v>4.8410000000000002</c:v>
                </c:pt>
                <c:pt idx="45">
                  <c:v>5.0449999999999999</c:v>
                </c:pt>
                <c:pt idx="46">
                  <c:v>4.8479999999999999</c:v>
                </c:pt>
                <c:pt idx="47">
                  <c:v>5.5720000000000001</c:v>
                </c:pt>
                <c:pt idx="48">
                  <c:v>5.1310000000000002</c:v>
                </c:pt>
                <c:pt idx="49">
                  <c:v>4.8129999999999997</c:v>
                </c:pt>
                <c:pt idx="50">
                  <c:v>3.8690000000000002</c:v>
                </c:pt>
                <c:pt idx="51">
                  <c:v>3.92</c:v>
                </c:pt>
                <c:pt idx="52">
                  <c:v>4.3410000000000002</c:v>
                </c:pt>
                <c:pt idx="53">
                  <c:v>4.6159999999999997</c:v>
                </c:pt>
                <c:pt idx="54">
                  <c:v>4.923</c:v>
                </c:pt>
                <c:pt idx="55">
                  <c:v>3.8159999999999998</c:v>
                </c:pt>
                <c:pt idx="56">
                  <c:v>3.8719999999999999</c:v>
                </c:pt>
                <c:pt idx="57">
                  <c:v>4.0380000000000003</c:v>
                </c:pt>
                <c:pt idx="58">
                  <c:v>4.18</c:v>
                </c:pt>
                <c:pt idx="59">
                  <c:v>4.4050000000000002</c:v>
                </c:pt>
                <c:pt idx="60">
                  <c:v>4.42</c:v>
                </c:pt>
                <c:pt idx="61">
                  <c:v>4.0369999999999999</c:v>
                </c:pt>
                <c:pt idx="62">
                  <c:v>4.3890000000000002</c:v>
                </c:pt>
                <c:pt idx="63">
                  <c:v>4.6980000000000004</c:v>
                </c:pt>
                <c:pt idx="64">
                  <c:v>4.6660000000000004</c:v>
                </c:pt>
                <c:pt idx="65">
                  <c:v>4.3739999999999997</c:v>
                </c:pt>
                <c:pt idx="66">
                  <c:v>4.1449999999999996</c:v>
                </c:pt>
                <c:pt idx="67">
                  <c:v>4.0540000000000003</c:v>
                </c:pt>
                <c:pt idx="68">
                  <c:v>3.6659999999999999</c:v>
                </c:pt>
                <c:pt idx="69">
                  <c:v>3.9340000000000002</c:v>
                </c:pt>
                <c:pt idx="70">
                  <c:v>3.55</c:v>
                </c:pt>
                <c:pt idx="71">
                  <c:v>2.9889999999999999</c:v>
                </c:pt>
                <c:pt idx="72">
                  <c:v>2.5030000000000001</c:v>
                </c:pt>
                <c:pt idx="73">
                  <c:v>2.6160000000000001</c:v>
                </c:pt>
                <c:pt idx="74">
                  <c:v>2.1259999999999999</c:v>
                </c:pt>
                <c:pt idx="75">
                  <c:v>2.2850000000000001</c:v>
                </c:pt>
                <c:pt idx="76">
                  <c:v>2.4220000000000002</c:v>
                </c:pt>
                <c:pt idx="77">
                  <c:v>2.8239999999999998</c:v>
                </c:pt>
                <c:pt idx="78">
                  <c:v>3.2090000000000001</c:v>
                </c:pt>
                <c:pt idx="79">
                  <c:v>2.7989999999999999</c:v>
                </c:pt>
                <c:pt idx="80">
                  <c:v>3.32</c:v>
                </c:pt>
                <c:pt idx="81">
                  <c:v>3.6920000000000002</c:v>
                </c:pt>
                <c:pt idx="82">
                  <c:v>3.5609999999999999</c:v>
                </c:pt>
                <c:pt idx="83">
                  <c:v>3.351</c:v>
                </c:pt>
                <c:pt idx="84">
                  <c:v>3.339</c:v>
                </c:pt>
                <c:pt idx="85">
                  <c:v>3.4860000000000002</c:v>
                </c:pt>
                <c:pt idx="86">
                  <c:v>4.024</c:v>
                </c:pt>
                <c:pt idx="87">
                  <c:v>4.343</c:v>
                </c:pt>
                <c:pt idx="88">
                  <c:v>3.984</c:v>
                </c:pt>
                <c:pt idx="89">
                  <c:v>3.5649999999999999</c:v>
                </c:pt>
                <c:pt idx="90">
                  <c:v>3.4460000000000002</c:v>
                </c:pt>
                <c:pt idx="91">
                  <c:v>3.581</c:v>
                </c:pt>
                <c:pt idx="92">
                  <c:v>3.56</c:v>
                </c:pt>
                <c:pt idx="93">
                  <c:v>3.581</c:v>
                </c:pt>
                <c:pt idx="94">
                  <c:v>3.9540000000000002</c:v>
                </c:pt>
                <c:pt idx="95">
                  <c:v>4.2300000000000004</c:v>
                </c:pt>
                <c:pt idx="96">
                  <c:v>4.9429999999999996</c:v>
                </c:pt>
                <c:pt idx="97">
                  <c:v>4.609</c:v>
                </c:pt>
                <c:pt idx="98">
                  <c:v>4.3710000000000004</c:v>
                </c:pt>
                <c:pt idx="99">
                  <c:v>4.8150000000000004</c:v>
                </c:pt>
                <c:pt idx="100">
                  <c:v>4.5419999999999998</c:v>
                </c:pt>
                <c:pt idx="101">
                  <c:v>4.4610000000000003</c:v>
                </c:pt>
                <c:pt idx="102">
                  <c:v>3.8410000000000002</c:v>
                </c:pt>
                <c:pt idx="103">
                  <c:v>4.0650000000000004</c:v>
                </c:pt>
                <c:pt idx="104">
                  <c:v>4.1210000000000004</c:v>
                </c:pt>
                <c:pt idx="105">
                  <c:v>3.8730000000000002</c:v>
                </c:pt>
                <c:pt idx="106">
                  <c:v>4.0880000000000001</c:v>
                </c:pt>
                <c:pt idx="107">
                  <c:v>2.8889999999999998</c:v>
                </c:pt>
                <c:pt idx="108">
                  <c:v>2.6909999999999998</c:v>
                </c:pt>
                <c:pt idx="109">
                  <c:v>2.734</c:v>
                </c:pt>
                <c:pt idx="110">
                  <c:v>2.64</c:v>
                </c:pt>
                <c:pt idx="111">
                  <c:v>2.7509999999999999</c:v>
                </c:pt>
                <c:pt idx="112">
                  <c:v>2.6419999999999999</c:v>
                </c:pt>
                <c:pt idx="113">
                  <c:v>2.8319999999999999</c:v>
                </c:pt>
                <c:pt idx="114">
                  <c:v>2.7160000000000002</c:v>
                </c:pt>
                <c:pt idx="115">
                  <c:v>2.6890000000000001</c:v>
                </c:pt>
                <c:pt idx="116">
                  <c:v>2.524</c:v>
                </c:pt>
                <c:pt idx="117">
                  <c:v>2.3210000000000002</c:v>
                </c:pt>
                <c:pt idx="118">
                  <c:v>2.2349999999999999</c:v>
                </c:pt>
                <c:pt idx="119">
                  <c:v>2.3370000000000002</c:v>
                </c:pt>
                <c:pt idx="120">
                  <c:v>2.298</c:v>
                </c:pt>
                <c:pt idx="121">
                  <c:v>1.7110000000000001</c:v>
                </c:pt>
                <c:pt idx="122">
                  <c:v>1.9590000000000001</c:v>
                </c:pt>
                <c:pt idx="123">
                  <c:v>2.1779999999999999</c:v>
                </c:pt>
                <c:pt idx="124">
                  <c:v>2.2879999999999998</c:v>
                </c:pt>
              </c:numCache>
            </c:numRef>
          </c:val>
          <c:smooth val="0"/>
        </c:ser>
        <c:dLbls>
          <c:showLegendKey val="0"/>
          <c:showVal val="0"/>
          <c:showCatName val="0"/>
          <c:showSerName val="0"/>
          <c:showPercent val="0"/>
          <c:showBubbleSize val="0"/>
        </c:dLbls>
        <c:marker val="1"/>
        <c:smooth val="0"/>
        <c:axId val="234493056"/>
        <c:axId val="234494592"/>
      </c:lineChart>
      <c:dateAx>
        <c:axId val="234493056"/>
        <c:scaling>
          <c:orientation val="minMax"/>
        </c:scaling>
        <c:delete val="0"/>
        <c:axPos val="b"/>
        <c:numFmt formatCode="[$-409]mmm\-yy;@" sourceLinked="0"/>
        <c:majorTickMark val="out"/>
        <c:minorTickMark val="none"/>
        <c:tickLblPos val="low"/>
        <c:crossAx val="234494592"/>
        <c:crosses val="autoZero"/>
        <c:auto val="1"/>
        <c:lblOffset val="100"/>
        <c:baseTimeUnit val="months"/>
        <c:majorUnit val="6"/>
        <c:majorTimeUnit val="months"/>
      </c:dateAx>
      <c:valAx>
        <c:axId val="234494592"/>
        <c:scaling>
          <c:orientation val="minMax"/>
          <c:max val="14"/>
          <c:min val="-2"/>
        </c:scaling>
        <c:delete val="0"/>
        <c:axPos val="l"/>
        <c:majorGridlines/>
        <c:title>
          <c:tx>
            <c:rich>
              <a:bodyPr rot="0" vert="horz"/>
              <a:lstStyle/>
              <a:p>
                <a:pPr>
                  <a:defRPr/>
                </a:pPr>
                <a:r>
                  <a:rPr lang="en-US"/>
                  <a:t>$/mmbtu</a:t>
                </a:r>
              </a:p>
            </c:rich>
          </c:tx>
          <c:layout>
            <c:manualLayout>
              <c:xMode val="edge"/>
              <c:yMode val="edge"/>
              <c:x val="0"/>
              <c:y val="4.4047098279381743E-3"/>
            </c:manualLayout>
          </c:layout>
          <c:overlay val="0"/>
        </c:title>
        <c:numFmt formatCode="_(&quot;$&quot;* #,##0.00_);_(&quot;$&quot;* \(#,##0.00\);_(&quot;$&quot;* &quot;-&quot;??_);_(@_)" sourceLinked="1"/>
        <c:majorTickMark val="out"/>
        <c:minorTickMark val="none"/>
        <c:tickLblPos val="nextTo"/>
        <c:crossAx val="234493056"/>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0.59246</cdr:x>
      <cdr:y>0.27237</cdr:y>
    </cdr:from>
    <cdr:to>
      <cdr:x>0.95332</cdr:x>
      <cdr:y>0.58755</cdr:y>
    </cdr:to>
    <cdr:cxnSp macro="">
      <cdr:nvCxnSpPr>
        <cdr:cNvPr id="2" name="Straight Arrow Connector 1"/>
        <cdr:cNvCxnSpPr/>
      </cdr:nvCxnSpPr>
      <cdr:spPr>
        <a:xfrm xmlns:a="http://schemas.openxmlformats.org/drawingml/2006/main">
          <a:off x="3143250" y="666750"/>
          <a:ext cx="1914525" cy="7715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1139</Words>
  <Characters>6497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Cheniere Energy, Inc.</Company>
  <LinksUpToDate>false</LinksUpToDate>
  <CharactersWithSpaces>7621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White</dc:creator>
  <cp:lastModifiedBy>Sam White</cp:lastModifiedBy>
  <cp:revision>2</cp:revision>
  <cp:lastPrinted>2016-10-19T17:37:00Z</cp:lastPrinted>
  <dcterms:created xsi:type="dcterms:W3CDTF">2016-10-19T22:26:00Z</dcterms:created>
  <dcterms:modified xsi:type="dcterms:W3CDTF">2016-10-19T22:26:00Z</dcterms:modified>
</cp:coreProperties>
</file>